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9E8E" w14:textId="77777777" w:rsidR="00551E94" w:rsidRDefault="00551E94" w:rsidP="00551E94">
      <w:pPr>
        <w:pStyle w:val="Header"/>
        <w:pBdr>
          <w:bottom w:val="single" w:sz="6" w:space="1" w:color="auto"/>
        </w:pBdr>
      </w:pPr>
      <w:r>
        <w:rPr>
          <w:noProof/>
        </w:rPr>
        <mc:AlternateContent>
          <mc:Choice Requires="wps">
            <w:drawing>
              <wp:anchor distT="0" distB="0" distL="114300" distR="114300" simplePos="0" relativeHeight="251660288" behindDoc="0" locked="0" layoutInCell="1" allowOverlap="1" wp14:anchorId="10CCA50D" wp14:editId="15E4A19E">
                <wp:simplePos x="0" y="0"/>
                <wp:positionH relativeFrom="column">
                  <wp:posOffset>3359179</wp:posOffset>
                </wp:positionH>
                <wp:positionV relativeFrom="paragraph">
                  <wp:posOffset>624042</wp:posOffset>
                </wp:positionV>
                <wp:extent cx="1605517" cy="393405"/>
                <wp:effectExtent l="0" t="0" r="13970" b="26035"/>
                <wp:wrapNone/>
                <wp:docPr id="21362600" name="Text Box 3"/>
                <wp:cNvGraphicFramePr/>
                <a:graphic xmlns:a="http://schemas.openxmlformats.org/drawingml/2006/main">
                  <a:graphicData uri="http://schemas.microsoft.com/office/word/2010/wordprocessingShape">
                    <wps:wsp>
                      <wps:cNvSpPr txBox="1"/>
                      <wps:spPr>
                        <a:xfrm>
                          <a:off x="0" y="0"/>
                          <a:ext cx="1605517" cy="393405"/>
                        </a:xfrm>
                        <a:prstGeom prst="rect">
                          <a:avLst/>
                        </a:prstGeom>
                        <a:solidFill>
                          <a:schemeClr val="bg1"/>
                        </a:solidFill>
                        <a:ln w="6350">
                          <a:solidFill>
                            <a:schemeClr val="bg1"/>
                          </a:solidFill>
                        </a:ln>
                      </wps:spPr>
                      <wps:txbx>
                        <w:txbxContent>
                          <w:p w14:paraId="4956146B" w14:textId="77777777" w:rsidR="00551E94" w:rsidRDefault="00551E94" w:rsidP="00551E94">
                            <w:r>
                              <w:t>E-ISSN:  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CCA50D" id="_x0000_t202" coordsize="21600,21600" o:spt="202" path="m,l,21600r21600,l21600,xe">
                <v:stroke joinstyle="miter"/>
                <v:path gradientshapeok="t" o:connecttype="rect"/>
              </v:shapetype>
              <v:shape id="Text Box 3" o:spid="_x0000_s1026" type="#_x0000_t202" style="position:absolute;margin-left:264.5pt;margin-top:49.15pt;width:126.4pt;height:3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" fillcolor="white [3212]" strokecolor="white [3212]" strokeweight=".5pt">
                <v:textbox>
                  <w:txbxContent>
                    <w:p w14:paraId="4956146B" w14:textId="77777777" w:rsidR="00551E94" w:rsidRDefault="00551E94" w:rsidP="00551E94">
                      <w:r>
                        <w:t>E-ISSN:  XXX-XXX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F18DF38" wp14:editId="783869B7">
                <wp:simplePos x="0" y="0"/>
                <wp:positionH relativeFrom="column">
                  <wp:posOffset>3359387</wp:posOffset>
                </wp:positionH>
                <wp:positionV relativeFrom="paragraph">
                  <wp:posOffset>1006549</wp:posOffset>
                </wp:positionV>
                <wp:extent cx="2041451" cy="542260"/>
                <wp:effectExtent l="0" t="0" r="16510" b="10795"/>
                <wp:wrapNone/>
                <wp:docPr id="346934322" name="Text Box 2"/>
                <wp:cNvGraphicFramePr/>
                <a:graphic xmlns:a="http://schemas.openxmlformats.org/drawingml/2006/main">
                  <a:graphicData uri="http://schemas.microsoft.com/office/word/2010/wordprocessingShape">
                    <wps:wsp>
                      <wps:cNvSpPr txBox="1"/>
                      <wps:spPr>
                        <a:xfrm>
                          <a:off x="0" y="0"/>
                          <a:ext cx="2041451" cy="542260"/>
                        </a:xfrm>
                        <a:prstGeom prst="rect">
                          <a:avLst/>
                        </a:prstGeom>
                        <a:solidFill>
                          <a:schemeClr val="bg1"/>
                        </a:solidFill>
                        <a:ln w="6350">
                          <a:solidFill>
                            <a:schemeClr val="bg1"/>
                          </a:solidFill>
                        </a:ln>
                      </wps:spPr>
                      <wps:txbx>
                        <w:txbxContent>
                          <w:p w14:paraId="4ABCEF1A" w14:textId="77777777" w:rsidR="00551E94" w:rsidRPr="00B51398" w:rsidRDefault="00551E94" w:rsidP="00551E94">
                            <w:pPr>
                              <w:rPr>
                                <w:b/>
                                <w:bCs/>
                                <w:color w:val="4472C4" w:themeColor="accent1"/>
                              </w:rPr>
                            </w:pPr>
                            <w:r>
                              <w:rPr>
                                <w:b/>
                                <w:bCs/>
                                <w:color w:val="4472C4" w:themeColor="accent1"/>
                              </w:rPr>
                              <w:t xml:space="preserve"> </w:t>
                            </w:r>
                            <w:proofErr w:type="gramStart"/>
                            <w:r w:rsidRPr="00B51398">
                              <w:rPr>
                                <w:b/>
                                <w:bCs/>
                                <w:color w:val="4472C4" w:themeColor="accent1"/>
                              </w:rPr>
                              <w:t>JSPB :</w:t>
                            </w:r>
                            <w:proofErr w:type="gramEnd"/>
                            <w:r w:rsidRPr="00B51398">
                              <w:rPr>
                                <w:b/>
                                <w:bCs/>
                                <w:color w:val="4472C4" w:themeColor="accent1"/>
                              </w:rPr>
                              <w:t xml:space="preserve"> Jurnal Studi Perikanan Berkelanjutan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18DF38" id="Text Box 2" o:spid="_x0000_s1027" type="#_x0000_t202" style="position:absolute;margin-left:264.5pt;margin-top:79.25pt;width:160.75pt;height:4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" fillcolor="white [3212]" strokecolor="white [3212]" strokeweight=".5pt">
                <v:textbox>
                  <w:txbxContent>
                    <w:p w14:paraId="4ABCEF1A" w14:textId="77777777" w:rsidR="00551E94" w:rsidRPr="00B51398" w:rsidRDefault="00551E94" w:rsidP="00551E94">
                      <w:pPr>
                        <w:rPr>
                          <w:b/>
                          <w:bCs/>
                          <w:color w:val="4472C4" w:themeColor="accent1"/>
                        </w:rPr>
                      </w:pPr>
                      <w:r>
                        <w:rPr>
                          <w:b/>
                          <w:bCs/>
                          <w:color w:val="4472C4" w:themeColor="accent1"/>
                        </w:rPr>
                        <w:t xml:space="preserve"> </w:t>
                      </w:r>
                      <w:proofErr w:type="gramStart"/>
                      <w:r w:rsidRPr="00B51398">
                        <w:rPr>
                          <w:b/>
                          <w:bCs/>
                          <w:color w:val="4472C4" w:themeColor="accent1"/>
                        </w:rPr>
                        <w:t>JSPB :</w:t>
                      </w:r>
                      <w:proofErr w:type="gramEnd"/>
                      <w:r w:rsidRPr="00B51398">
                        <w:rPr>
                          <w:b/>
                          <w:bCs/>
                          <w:color w:val="4472C4" w:themeColor="accent1"/>
                        </w:rPr>
                        <w:t xml:space="preserve"> Jurnal Studi Perikanan Berkelanjutan</w:t>
                      </w:r>
                    </w:p>
                  </w:txbxContent>
                </v:textbox>
              </v:shape>
            </w:pict>
          </mc:Fallback>
        </mc:AlternateContent>
      </w:r>
      <w:r>
        <w:rPr>
          <w:noProof/>
        </w:rPr>
        <w:drawing>
          <wp:inline distT="0" distB="0" distL="0" distR="0" wp14:anchorId="273C93C8" wp14:editId="5228CBC3">
            <wp:extent cx="3221665" cy="1700945"/>
            <wp:effectExtent l="0" t="0" r="0" b="0"/>
            <wp:docPr id="453071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42810" name="Picture 15974428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9324" cy="1720828"/>
                    </a:xfrm>
                    <a:prstGeom prst="rect">
                      <a:avLst/>
                    </a:prstGeom>
                    <a:ln>
                      <a:noFill/>
                    </a:ln>
                    <a:effectLst>
                      <a:softEdge rad="112500"/>
                    </a:effectLst>
                  </pic:spPr>
                </pic:pic>
              </a:graphicData>
            </a:graphic>
          </wp:inline>
        </w:drawing>
      </w:r>
    </w:p>
    <w:p w14:paraId="7A0490B6" w14:textId="77777777" w:rsidR="00551E94" w:rsidRDefault="00551E94" w:rsidP="00551E94">
      <w:pPr>
        <w:pStyle w:val="Header"/>
        <w:pBdr>
          <w:bottom w:val="single" w:sz="12" w:space="1" w:color="auto"/>
        </w:pBdr>
      </w:pPr>
    </w:p>
    <w:p w14:paraId="1C30A23C" w14:textId="77777777" w:rsidR="00551E94" w:rsidRDefault="00551E94" w:rsidP="00551E94">
      <w:pPr>
        <w:pStyle w:val="Header"/>
      </w:pPr>
    </w:p>
    <w:p w14:paraId="55C16900" w14:textId="1413B754" w:rsidR="00E129B7" w:rsidRPr="008042E9" w:rsidRDefault="00656E26" w:rsidP="00656E26">
      <w:pPr>
        <w:jc w:val="center"/>
        <w:rPr>
          <w:rFonts w:ascii="Book Antiqua" w:hAnsi="Book Antiqua"/>
          <w:b/>
          <w:bCs/>
          <w:sz w:val="28"/>
          <w:szCs w:val="28"/>
        </w:rPr>
      </w:pPr>
      <w:r w:rsidRPr="008042E9">
        <w:rPr>
          <w:rFonts w:ascii="Book Antiqua" w:hAnsi="Book Antiqua"/>
          <w:b/>
          <w:bCs/>
          <w:sz w:val="28"/>
          <w:szCs w:val="28"/>
        </w:rPr>
        <w:t xml:space="preserve">Improving the Welfare of Fishers and Coastal Communities through Fisheries Business Diversification in Bone </w:t>
      </w:r>
      <w:r w:rsidR="00B61CD8">
        <w:rPr>
          <w:rFonts w:ascii="Book Antiqua" w:hAnsi="Book Antiqua"/>
          <w:b/>
          <w:bCs/>
          <w:sz w:val="28"/>
          <w:szCs w:val="28"/>
        </w:rPr>
        <w:t>District</w:t>
      </w:r>
      <w:r w:rsidRPr="008042E9">
        <w:rPr>
          <w:rFonts w:ascii="Book Antiqua" w:hAnsi="Book Antiqua"/>
          <w:b/>
          <w:bCs/>
          <w:sz w:val="28"/>
          <w:szCs w:val="28"/>
        </w:rPr>
        <w:t>, South Sulawesi</w:t>
      </w:r>
    </w:p>
    <w:p w14:paraId="79CDA448" w14:textId="32DFB551" w:rsidR="00033CAD" w:rsidRPr="008042E9" w:rsidRDefault="002155B3" w:rsidP="002155B3">
      <w:pPr>
        <w:jc w:val="center"/>
        <w:rPr>
          <w:rFonts w:ascii="Book Antiqua" w:hAnsi="Book Antiqua"/>
          <w:b/>
          <w:bCs/>
          <w:sz w:val="20"/>
          <w:szCs w:val="20"/>
        </w:rPr>
      </w:pPr>
      <w:bookmarkStart w:id="0" w:name="_Hlk210762503"/>
      <w:r w:rsidRPr="008042E9">
        <w:rPr>
          <w:rFonts w:ascii="Book Antiqua" w:hAnsi="Book Antiqua"/>
          <w:b/>
          <w:bCs/>
          <w:sz w:val="20"/>
          <w:szCs w:val="20"/>
        </w:rPr>
        <w:t>Hikmah Maulifia</w:t>
      </w:r>
      <w:r w:rsidR="0072769C">
        <w:rPr>
          <w:rFonts w:ascii="Book Antiqua" w:hAnsi="Book Antiqua"/>
          <w:b/>
          <w:bCs/>
          <w:sz w:val="20"/>
          <w:szCs w:val="20"/>
        </w:rPr>
        <w:t>h</w:t>
      </w:r>
      <w:r w:rsidRPr="008042E9">
        <w:rPr>
          <w:rFonts w:ascii="Book Antiqua" w:hAnsi="Book Antiqua"/>
          <w:b/>
          <w:bCs/>
          <w:sz w:val="20"/>
          <w:szCs w:val="20"/>
        </w:rPr>
        <w:t xml:space="preserve"> </w:t>
      </w:r>
      <w:r w:rsidR="0072769C">
        <w:rPr>
          <w:rFonts w:ascii="Book Antiqua" w:hAnsi="Book Antiqua"/>
          <w:b/>
          <w:bCs/>
          <w:sz w:val="20"/>
          <w:szCs w:val="20"/>
        </w:rPr>
        <w:t>Z</w:t>
      </w:r>
      <w:r w:rsidRPr="008042E9">
        <w:rPr>
          <w:rFonts w:ascii="Book Antiqua" w:hAnsi="Book Antiqua"/>
          <w:b/>
          <w:bCs/>
          <w:sz w:val="20"/>
          <w:szCs w:val="20"/>
        </w:rPr>
        <w:t>aim</w:t>
      </w:r>
      <w:bookmarkEnd w:id="0"/>
      <w:r w:rsidR="003C7009" w:rsidRPr="008042E9">
        <w:rPr>
          <w:rFonts w:ascii="Book Antiqua" w:hAnsi="Book Antiqua"/>
          <w:b/>
          <w:bCs/>
          <w:sz w:val="20"/>
          <w:szCs w:val="20"/>
          <w:vertAlign w:val="superscript"/>
        </w:rPr>
        <w:t>1*</w:t>
      </w:r>
      <w:r w:rsidRPr="008042E9">
        <w:rPr>
          <w:rFonts w:ascii="Book Antiqua" w:hAnsi="Book Antiqua"/>
          <w:b/>
          <w:bCs/>
          <w:sz w:val="20"/>
          <w:szCs w:val="20"/>
        </w:rPr>
        <w:t>, Andi Nadia Mughsita Sani</w:t>
      </w:r>
      <w:r w:rsidR="003C7009" w:rsidRPr="008042E9">
        <w:rPr>
          <w:rFonts w:ascii="Book Antiqua" w:hAnsi="Book Antiqua"/>
          <w:b/>
          <w:bCs/>
          <w:sz w:val="20"/>
          <w:szCs w:val="20"/>
          <w:vertAlign w:val="superscript"/>
        </w:rPr>
        <w:t>2</w:t>
      </w:r>
      <w:r w:rsidRPr="008042E9">
        <w:rPr>
          <w:rFonts w:ascii="Book Antiqua" w:hAnsi="Book Antiqua"/>
          <w:b/>
          <w:bCs/>
          <w:sz w:val="20"/>
          <w:szCs w:val="20"/>
        </w:rPr>
        <w:t>, Saptariani Putri Ridwan</w:t>
      </w:r>
      <w:r w:rsidR="003C7009" w:rsidRPr="008042E9">
        <w:rPr>
          <w:rFonts w:ascii="Book Antiqua" w:hAnsi="Book Antiqua"/>
          <w:b/>
          <w:bCs/>
          <w:sz w:val="20"/>
          <w:szCs w:val="20"/>
          <w:vertAlign w:val="superscript"/>
        </w:rPr>
        <w:t>1</w:t>
      </w:r>
      <w:r w:rsidRPr="008042E9">
        <w:rPr>
          <w:rFonts w:ascii="Book Antiqua" w:hAnsi="Book Antiqua"/>
          <w:b/>
          <w:bCs/>
          <w:sz w:val="20"/>
          <w:szCs w:val="20"/>
        </w:rPr>
        <w:t>, Andi Batari K. Jabbar</w:t>
      </w:r>
      <w:r w:rsidR="003C7009" w:rsidRPr="008042E9">
        <w:rPr>
          <w:rFonts w:ascii="Book Antiqua" w:hAnsi="Book Antiqua"/>
          <w:b/>
          <w:bCs/>
          <w:sz w:val="20"/>
          <w:szCs w:val="20"/>
          <w:vertAlign w:val="superscript"/>
        </w:rPr>
        <w:t>1</w:t>
      </w:r>
      <w:r w:rsidRPr="008042E9">
        <w:rPr>
          <w:rFonts w:ascii="Book Antiqua" w:hAnsi="Book Antiqua"/>
          <w:b/>
          <w:bCs/>
          <w:sz w:val="20"/>
          <w:szCs w:val="20"/>
        </w:rPr>
        <w:t>, Alliyyul Asraff</w:t>
      </w:r>
      <w:r w:rsidR="003C7009" w:rsidRPr="008042E9">
        <w:rPr>
          <w:rFonts w:ascii="Book Antiqua" w:hAnsi="Book Antiqua"/>
          <w:b/>
          <w:bCs/>
          <w:sz w:val="20"/>
          <w:szCs w:val="20"/>
          <w:vertAlign w:val="superscript"/>
        </w:rPr>
        <w:t>3</w:t>
      </w:r>
      <w:r w:rsidRPr="008042E9">
        <w:rPr>
          <w:rFonts w:ascii="Book Antiqua" w:hAnsi="Book Antiqua"/>
          <w:b/>
          <w:bCs/>
          <w:sz w:val="20"/>
          <w:szCs w:val="20"/>
        </w:rPr>
        <w:t>.</w:t>
      </w:r>
    </w:p>
    <w:p w14:paraId="26D13282" w14:textId="0FD89B78" w:rsidR="003C7009" w:rsidRPr="008042E9" w:rsidRDefault="003C7009" w:rsidP="003C7009">
      <w:pPr>
        <w:spacing w:after="0"/>
        <w:rPr>
          <w:rFonts w:ascii="Book Antiqua" w:hAnsi="Book Antiqua" w:cs="Times New Roman"/>
          <w:i/>
          <w:sz w:val="18"/>
          <w:szCs w:val="18"/>
        </w:rPr>
      </w:pPr>
      <w:r w:rsidRPr="008042E9">
        <w:rPr>
          <w:rFonts w:ascii="Book Antiqua" w:hAnsi="Book Antiqua" w:cs="Times New Roman"/>
          <w:i/>
          <w:sz w:val="18"/>
          <w:szCs w:val="18"/>
        </w:rPr>
        <w:t>1.  Water Resources Management Study Program, Institute of Agricultural Technology, Takalar, Indonesia</w:t>
      </w:r>
    </w:p>
    <w:p w14:paraId="59BE5D52" w14:textId="0BB519F8" w:rsidR="002155B3" w:rsidRPr="008042E9" w:rsidRDefault="003C7009" w:rsidP="003C7009">
      <w:pPr>
        <w:spacing w:after="0"/>
        <w:rPr>
          <w:rFonts w:ascii="Book Antiqua" w:hAnsi="Book Antiqua" w:cs="Times New Roman"/>
          <w:i/>
          <w:sz w:val="18"/>
          <w:szCs w:val="18"/>
        </w:rPr>
      </w:pPr>
      <w:r w:rsidRPr="008042E9">
        <w:rPr>
          <w:rFonts w:ascii="Book Antiqua" w:hAnsi="Book Antiqua" w:cs="Times New Roman"/>
          <w:i/>
          <w:sz w:val="18"/>
          <w:szCs w:val="18"/>
        </w:rPr>
        <w:t xml:space="preserve">2. </w:t>
      </w:r>
      <w:r w:rsidR="00D753A8" w:rsidRPr="008042E9">
        <w:rPr>
          <w:rFonts w:ascii="Book Antiqua" w:hAnsi="Book Antiqua" w:cs="Times New Roman"/>
          <w:i/>
          <w:sz w:val="18"/>
          <w:szCs w:val="18"/>
        </w:rPr>
        <w:t>Fisheries Science Study Program, Faculty of Science and Technology, University of Cahaya Prima, Bone, Indonesia.</w:t>
      </w:r>
    </w:p>
    <w:p w14:paraId="249E3AA4" w14:textId="19B58180" w:rsidR="00D753A8" w:rsidRPr="008042E9" w:rsidRDefault="003C7009" w:rsidP="00656E26">
      <w:pPr>
        <w:spacing w:after="0"/>
        <w:rPr>
          <w:rFonts w:ascii="Book Antiqua" w:hAnsi="Book Antiqua" w:cs="Times New Roman"/>
          <w:i/>
          <w:sz w:val="18"/>
          <w:szCs w:val="18"/>
        </w:rPr>
      </w:pPr>
      <w:r w:rsidRPr="008042E9">
        <w:rPr>
          <w:rFonts w:ascii="Book Antiqua" w:hAnsi="Book Antiqua" w:cs="Times New Roman"/>
          <w:i/>
          <w:sz w:val="18"/>
          <w:szCs w:val="18"/>
        </w:rPr>
        <w:t xml:space="preserve">3. </w:t>
      </w:r>
      <w:r w:rsidR="00D753A8" w:rsidRPr="008042E9">
        <w:rPr>
          <w:rFonts w:ascii="Book Antiqua" w:hAnsi="Book Antiqua" w:cs="Times New Roman"/>
          <w:i/>
          <w:sz w:val="18"/>
          <w:szCs w:val="18"/>
        </w:rPr>
        <w:t>Student of Fisheries Science Study Program, Faculty of Science and Technology, Cahaya Prima University, Bone, Indonesia.</w:t>
      </w:r>
    </w:p>
    <w:p w14:paraId="756150B3" w14:textId="1E70904E" w:rsidR="008042E9" w:rsidRDefault="008042E9" w:rsidP="008042E9">
      <w:pPr>
        <w:spacing w:after="0"/>
        <w:jc w:val="center"/>
        <w:rPr>
          <w:rFonts w:ascii="Book Antiqua" w:hAnsi="Book Antiqua" w:cs="Times New Roman"/>
          <w:iCs/>
          <w:sz w:val="18"/>
          <w:szCs w:val="18"/>
        </w:rPr>
      </w:pPr>
      <w:r w:rsidRPr="008042E9">
        <w:rPr>
          <w:rFonts w:ascii="Book Antiqua" w:hAnsi="Book Antiqua" w:cs="Times New Roman"/>
          <w:iCs/>
          <w:sz w:val="18"/>
          <w:szCs w:val="18"/>
        </w:rPr>
        <w:t xml:space="preserve">Corresponding author: </w:t>
      </w:r>
      <w:hyperlink r:id="rId7" w:history="1">
        <w:r w:rsidR="001B158F" w:rsidRPr="009444B7">
          <w:rPr>
            <w:rStyle w:val="Hyperlink"/>
            <w:rFonts w:ascii="Book Antiqua" w:hAnsi="Book Antiqua" w:cs="Times New Roman"/>
            <w:iCs/>
            <w:sz w:val="18"/>
            <w:szCs w:val="18"/>
          </w:rPr>
          <w:t>hikmahmaulifiah@itp-takalar.ac.id</w:t>
        </w:r>
      </w:hyperlink>
    </w:p>
    <w:p w14:paraId="436981C1" w14:textId="1CEC2DEA" w:rsidR="001B158F" w:rsidRDefault="001B158F" w:rsidP="001B158F">
      <w:pPr>
        <w:spacing w:after="0"/>
        <w:jc w:val="center"/>
        <w:rPr>
          <w:rFonts w:ascii="Book Antiqua" w:hAnsi="Book Antiqua" w:cs="Times New Roman"/>
          <w:b/>
          <w:bCs/>
          <w:iCs/>
          <w:sz w:val="16"/>
          <w:szCs w:val="16"/>
        </w:rPr>
      </w:pPr>
      <w:r w:rsidRPr="0032312F">
        <w:rPr>
          <w:rFonts w:ascii="Book Antiqua" w:hAnsi="Book Antiqua" w:cs="Times New Roman"/>
          <w:b/>
          <w:bCs/>
          <w:iCs/>
          <w:sz w:val="16"/>
          <w:szCs w:val="16"/>
        </w:rPr>
        <w:t xml:space="preserve">Received: </w:t>
      </w:r>
      <w:r>
        <w:rPr>
          <w:rFonts w:ascii="Book Antiqua" w:hAnsi="Book Antiqua" w:cs="Times New Roman"/>
          <w:b/>
          <w:bCs/>
          <w:iCs/>
          <w:sz w:val="16"/>
          <w:szCs w:val="16"/>
        </w:rPr>
        <w:t>2</w:t>
      </w:r>
      <w:r w:rsidRPr="0032312F">
        <w:rPr>
          <w:rFonts w:ascii="Book Antiqua" w:hAnsi="Book Antiqua" w:cs="Times New Roman"/>
          <w:b/>
          <w:bCs/>
          <w:iCs/>
          <w:sz w:val="16"/>
          <w:szCs w:val="16"/>
        </w:rPr>
        <w:t xml:space="preserve">-10-2025      Accepted: </w:t>
      </w:r>
      <w:r>
        <w:rPr>
          <w:rFonts w:ascii="Book Antiqua" w:hAnsi="Book Antiqua" w:cs="Times New Roman"/>
          <w:b/>
          <w:bCs/>
          <w:iCs/>
          <w:sz w:val="16"/>
          <w:szCs w:val="16"/>
        </w:rPr>
        <w:t>29</w:t>
      </w:r>
      <w:r w:rsidRPr="0032312F">
        <w:rPr>
          <w:rFonts w:ascii="Book Antiqua" w:hAnsi="Book Antiqua" w:cs="Times New Roman"/>
          <w:b/>
          <w:bCs/>
          <w:iCs/>
          <w:sz w:val="16"/>
          <w:szCs w:val="16"/>
        </w:rPr>
        <w:t>-1</w:t>
      </w:r>
      <w:r>
        <w:rPr>
          <w:rFonts w:ascii="Book Antiqua" w:hAnsi="Book Antiqua" w:cs="Times New Roman"/>
          <w:b/>
          <w:bCs/>
          <w:iCs/>
          <w:sz w:val="16"/>
          <w:szCs w:val="16"/>
        </w:rPr>
        <w:t>1</w:t>
      </w:r>
      <w:r w:rsidRPr="0032312F">
        <w:rPr>
          <w:rFonts w:ascii="Book Antiqua" w:hAnsi="Book Antiqua" w:cs="Times New Roman"/>
          <w:b/>
          <w:bCs/>
          <w:iCs/>
          <w:sz w:val="16"/>
          <w:szCs w:val="16"/>
        </w:rPr>
        <w:t>-2025</w:t>
      </w:r>
    </w:p>
    <w:p w14:paraId="6B814388" w14:textId="77777777" w:rsidR="001B158F" w:rsidRPr="008042E9" w:rsidRDefault="001B158F" w:rsidP="008042E9">
      <w:pPr>
        <w:spacing w:after="0"/>
        <w:jc w:val="center"/>
        <w:rPr>
          <w:rFonts w:ascii="Book Antiqua" w:hAnsi="Book Antiqua" w:cs="Times New Roman"/>
          <w:iCs/>
          <w:sz w:val="18"/>
          <w:szCs w:val="18"/>
        </w:rPr>
      </w:pPr>
    </w:p>
    <w:p w14:paraId="200BED12" w14:textId="77777777" w:rsidR="00656E26" w:rsidRPr="008042E9" w:rsidRDefault="00656E26" w:rsidP="00656E26">
      <w:pPr>
        <w:spacing w:after="0"/>
        <w:rPr>
          <w:rFonts w:ascii="Book Antiqua" w:hAnsi="Book Antiqua" w:cs="Times New Roman"/>
          <w:i/>
          <w:sz w:val="18"/>
          <w:szCs w:val="18"/>
        </w:rPr>
      </w:pPr>
    </w:p>
    <w:p w14:paraId="4A06A302" w14:textId="7312F026" w:rsidR="00033CAD" w:rsidRPr="00075265" w:rsidRDefault="00656E26">
      <w:pPr>
        <w:rPr>
          <w:rFonts w:ascii="Book Antiqua" w:hAnsi="Book Antiqua"/>
          <w:b/>
          <w:bCs/>
          <w:sz w:val="24"/>
          <w:szCs w:val="24"/>
        </w:rPr>
      </w:pPr>
      <w:r w:rsidRPr="00075265">
        <w:rPr>
          <w:rFonts w:ascii="Book Antiqua" w:hAnsi="Book Antiqua"/>
          <w:b/>
          <w:bCs/>
          <w:sz w:val="24"/>
          <w:szCs w:val="24"/>
        </w:rPr>
        <w:t>Abstract</w:t>
      </w:r>
    </w:p>
    <w:p w14:paraId="61568029" w14:textId="240C641D" w:rsidR="00656E26" w:rsidRPr="00075265" w:rsidRDefault="00656E26" w:rsidP="00656E26">
      <w:pPr>
        <w:jc w:val="both"/>
        <w:rPr>
          <w:rFonts w:ascii="Book Antiqua" w:hAnsi="Book Antiqua"/>
        </w:rPr>
      </w:pPr>
      <w:r w:rsidRPr="00075265">
        <w:rPr>
          <w:rFonts w:ascii="Book Antiqua" w:hAnsi="Book Antiqua"/>
        </w:rPr>
        <w:t>The welfare of fishers in Indonesia, including those in Bone Regency, continues to face various challenges due to limited access to capital, fluctuations in fish prices, and vulnerability to climate change. This study aims to analyze fisheries business diversification strategies as an effort to improve the welfare of fishers and coastal communities. The research was conducted from April to May 2025 in three coastal villages of Bone Regency, involving 60 fisher respondents. Data were collected through structured interviews, observations, and focus group discussions (FGDs). The analysis employed a descriptive qualitative method and simple economic analysis to evaluate additional income from diversification activities such as fish processing, seaweed farming, and digital marketing. The results show that business diversification can increase fishers’ income by 25–40% compared to relying solely on marine catches. In addition, strengthening fisher group institutions and improving access to digital marketing training play a significant role in enhancing the competitiveness of local products. This study recommends a coastal economic development model based on business diversification and digital technology, aligned with the Ministry of Marine Affairs and Fisheries’ blue economy program.</w:t>
      </w:r>
    </w:p>
    <w:p w14:paraId="39A01F36" w14:textId="276390B6" w:rsidR="00033CAD" w:rsidRPr="00075265" w:rsidRDefault="00656E26" w:rsidP="00656E26">
      <w:pPr>
        <w:jc w:val="both"/>
        <w:rPr>
          <w:rFonts w:ascii="Book Antiqua" w:hAnsi="Book Antiqua"/>
        </w:rPr>
      </w:pPr>
      <w:r w:rsidRPr="00075265">
        <w:rPr>
          <w:rFonts w:ascii="Book Antiqua" w:hAnsi="Book Antiqua"/>
          <w:b/>
          <w:bCs/>
        </w:rPr>
        <w:t>Keywords:</w:t>
      </w:r>
      <w:r w:rsidRPr="00075265">
        <w:rPr>
          <w:rFonts w:ascii="Book Antiqua" w:hAnsi="Book Antiqua"/>
        </w:rPr>
        <w:t xml:space="preserve"> fishers’ welfare, coastal communities, business diversification, blue economy, Bone</w:t>
      </w:r>
      <w:r w:rsidR="00B61CD8">
        <w:rPr>
          <w:rFonts w:ascii="Book Antiqua" w:hAnsi="Book Antiqua"/>
        </w:rPr>
        <w:t xml:space="preserve"> District</w:t>
      </w:r>
    </w:p>
    <w:p w14:paraId="3B0ED9E7" w14:textId="4175C7C2" w:rsidR="00033CAD" w:rsidRPr="00075265" w:rsidRDefault="00656E26" w:rsidP="00033CAD">
      <w:pPr>
        <w:rPr>
          <w:rFonts w:ascii="Book Antiqua" w:hAnsi="Book Antiqua"/>
          <w:b/>
          <w:bCs/>
          <w:sz w:val="24"/>
          <w:szCs w:val="24"/>
        </w:rPr>
      </w:pPr>
      <w:r w:rsidRPr="00075265">
        <w:rPr>
          <w:rFonts w:ascii="Book Antiqua" w:hAnsi="Book Antiqua"/>
          <w:b/>
          <w:bCs/>
          <w:sz w:val="24"/>
          <w:szCs w:val="24"/>
        </w:rPr>
        <w:t>Introduction</w:t>
      </w:r>
    </w:p>
    <w:p w14:paraId="44ACBC21" w14:textId="137B9279" w:rsidR="00676EE7" w:rsidRPr="00075265" w:rsidRDefault="00676EE7" w:rsidP="00676EE7">
      <w:pPr>
        <w:jc w:val="both"/>
        <w:rPr>
          <w:rFonts w:ascii="Book Antiqua" w:hAnsi="Book Antiqua"/>
        </w:rPr>
      </w:pPr>
      <w:r w:rsidRPr="00075265">
        <w:rPr>
          <w:rFonts w:ascii="Book Antiqua" w:hAnsi="Book Antiqua"/>
        </w:rPr>
        <w:t xml:space="preserve">The welfare of fishing communities in Indonesia remains relatively low compared to other sectors, despite the country’s vast potential in fisheries resources (BPS, 2023). Poverty levels </w:t>
      </w:r>
      <w:r w:rsidRPr="00075265">
        <w:rPr>
          <w:rFonts w:ascii="Book Antiqua" w:hAnsi="Book Antiqua"/>
        </w:rPr>
        <w:lastRenderedPageBreak/>
        <w:t>in coastal areas are generally higher due to dependence on fluctuating fish catches and limited access to technology (Fauzi, 2019).</w:t>
      </w:r>
    </w:p>
    <w:p w14:paraId="31BA0FE3" w14:textId="77777777" w:rsidR="00676EE7" w:rsidRPr="00075265" w:rsidRDefault="00676EE7" w:rsidP="00676EE7">
      <w:pPr>
        <w:jc w:val="both"/>
        <w:rPr>
          <w:rFonts w:ascii="Book Antiqua" w:hAnsi="Book Antiqua"/>
        </w:rPr>
      </w:pPr>
      <w:r w:rsidRPr="00075265">
        <w:rPr>
          <w:rFonts w:ascii="Book Antiqua" w:hAnsi="Book Antiqua"/>
        </w:rPr>
        <w:t>In Bone Regency, South Sulawesi, traditional fishers face various challenges, including limited capital, inadequate port infrastructure, and increasing weather uncertainty influenced by climate change (KKP, 2021). These factors have a direct impact on income levels and the overall welfare of fishing families, which remain below the national average (Kusnadi, 2018).</w:t>
      </w:r>
    </w:p>
    <w:p w14:paraId="4A003F65" w14:textId="77777777" w:rsidR="00676EE7" w:rsidRPr="00075265" w:rsidRDefault="00676EE7" w:rsidP="00676EE7">
      <w:pPr>
        <w:jc w:val="both"/>
        <w:rPr>
          <w:rFonts w:ascii="Book Antiqua" w:hAnsi="Book Antiqua"/>
        </w:rPr>
      </w:pPr>
      <w:r w:rsidRPr="00075265">
        <w:rPr>
          <w:rFonts w:ascii="Book Antiqua" w:hAnsi="Book Antiqua"/>
        </w:rPr>
        <w:t>One effective strategy to reduce the economic vulnerability of fishers is fisheries business diversification (Bailey &amp; Pomeroy, 2020). Diversification enables fishers to earn alternative income from activities beyond fishing, such as aquaculture, fish processing, and fisheries product marketing (Pomeroy &amp; Andrew, 2011).</w:t>
      </w:r>
    </w:p>
    <w:p w14:paraId="068CEDEC" w14:textId="77777777" w:rsidR="00676EE7" w:rsidRPr="00075265" w:rsidRDefault="00676EE7" w:rsidP="00676EE7">
      <w:pPr>
        <w:jc w:val="both"/>
        <w:rPr>
          <w:rFonts w:ascii="Book Antiqua" w:hAnsi="Book Antiqua"/>
        </w:rPr>
      </w:pPr>
      <w:r w:rsidRPr="00075265">
        <w:rPr>
          <w:rFonts w:ascii="Book Antiqua" w:hAnsi="Book Antiqua"/>
        </w:rPr>
        <w:t>This diversification approach aligns with the government’s blue economy development agenda, which emphasizes a balance between ecological sustainability and economic growth in coastal communities (KKP, 2023). Through this approach, a more resilient and adaptive coastal economic system can be established in response to external changes (World Bank, 2021).</w:t>
      </w:r>
    </w:p>
    <w:p w14:paraId="67901D3F" w14:textId="77777777" w:rsidR="00676EE7" w:rsidRPr="00075265" w:rsidRDefault="00676EE7" w:rsidP="00676EE7">
      <w:pPr>
        <w:jc w:val="both"/>
        <w:rPr>
          <w:rFonts w:ascii="Book Antiqua" w:hAnsi="Book Antiqua"/>
        </w:rPr>
      </w:pPr>
      <w:r w:rsidRPr="00075265">
        <w:rPr>
          <w:rFonts w:ascii="Book Antiqua" w:hAnsi="Book Antiqua"/>
        </w:rPr>
        <w:t>Furthermore, strengthening community capacity through entrepreneurship training, market access facilitation, and the use of digital marketing can expand the reach of local fishers’ products, making them more competitive in both domestic and international markets (Satria, 2015).</w:t>
      </w:r>
    </w:p>
    <w:p w14:paraId="0012E237" w14:textId="06AEE581" w:rsidR="00033CAD" w:rsidRPr="00075265" w:rsidRDefault="00676EE7" w:rsidP="00656E26">
      <w:pPr>
        <w:jc w:val="both"/>
        <w:rPr>
          <w:rFonts w:ascii="Book Antiqua" w:hAnsi="Book Antiqua"/>
        </w:rPr>
      </w:pPr>
      <w:r w:rsidRPr="00075265">
        <w:rPr>
          <w:rFonts w:ascii="Book Antiqua" w:hAnsi="Book Antiqua"/>
        </w:rPr>
        <w:t>Therefore, this study is essential to analyze business diversification strategies as an effort to improve the welfare of fishers and coastal communities in Bone Regency, while also providing policy recommendations relevant to local needs (FAO, 2022).</w:t>
      </w:r>
    </w:p>
    <w:p w14:paraId="3C816B44" w14:textId="55953D27" w:rsidR="00033CAD" w:rsidRPr="00075265" w:rsidRDefault="00676EE7" w:rsidP="00033CAD">
      <w:pPr>
        <w:jc w:val="both"/>
        <w:rPr>
          <w:rFonts w:ascii="Book Antiqua" w:hAnsi="Book Antiqua"/>
          <w:b/>
          <w:bCs/>
          <w:sz w:val="24"/>
          <w:szCs w:val="24"/>
        </w:rPr>
      </w:pPr>
      <w:r w:rsidRPr="00075265">
        <w:rPr>
          <w:rFonts w:ascii="Book Antiqua" w:hAnsi="Book Antiqua"/>
          <w:b/>
          <w:bCs/>
          <w:sz w:val="24"/>
          <w:szCs w:val="24"/>
        </w:rPr>
        <w:t>Research Methods</w:t>
      </w:r>
    </w:p>
    <w:p w14:paraId="116135A2" w14:textId="623CD55E" w:rsidR="00676EE7" w:rsidRPr="00075265" w:rsidRDefault="00B61CD8" w:rsidP="00676EE7">
      <w:pPr>
        <w:jc w:val="both"/>
        <w:rPr>
          <w:rFonts w:ascii="Book Antiqua" w:hAnsi="Book Antiqua"/>
        </w:rPr>
      </w:pPr>
      <w:r w:rsidRPr="00B61CD8">
        <w:rPr>
          <w:rFonts w:ascii="Book Antiqua" w:hAnsi="Book Antiqua"/>
        </w:rPr>
        <w:t xml:space="preserve">This study was conducted in three coastal villages of Bone Regency, South Sulawesi—Pallette Village, Lamuru Village, and Bajoe Village—during April–May 2025. </w:t>
      </w:r>
      <w:r w:rsidR="00676EE7" w:rsidRPr="00B61CD8">
        <w:rPr>
          <w:rFonts w:ascii="Book Antiqua" w:hAnsi="Book Antiqua"/>
        </w:rPr>
        <w:t>The research locations were selected purposively, considering villages</w:t>
      </w:r>
      <w:r w:rsidR="00676EE7" w:rsidRPr="00075265">
        <w:rPr>
          <w:rFonts w:ascii="Book Antiqua" w:hAnsi="Book Antiqua"/>
        </w:rPr>
        <w:t xml:space="preserve"> where </w:t>
      </w:r>
      <w:proofErr w:type="gramStart"/>
      <w:r w:rsidR="00676EE7" w:rsidRPr="00075265">
        <w:rPr>
          <w:rFonts w:ascii="Book Antiqua" w:hAnsi="Book Antiqua"/>
        </w:rPr>
        <w:t>the majority of</w:t>
      </w:r>
      <w:proofErr w:type="gramEnd"/>
      <w:r w:rsidR="00676EE7" w:rsidRPr="00075265">
        <w:rPr>
          <w:rFonts w:ascii="Book Antiqua" w:hAnsi="Book Antiqua"/>
        </w:rPr>
        <w:t xml:space="preserve"> residents work as traditional fishers (Sugiyono, 2017).</w:t>
      </w:r>
    </w:p>
    <w:p w14:paraId="59533C13" w14:textId="77777777" w:rsidR="00676EE7" w:rsidRPr="00075265" w:rsidRDefault="00676EE7" w:rsidP="00676EE7">
      <w:pPr>
        <w:jc w:val="both"/>
        <w:rPr>
          <w:rFonts w:ascii="Book Antiqua" w:hAnsi="Book Antiqua"/>
        </w:rPr>
      </w:pPr>
      <w:r w:rsidRPr="00075265">
        <w:rPr>
          <w:rFonts w:ascii="Book Antiqua" w:hAnsi="Book Antiqua"/>
        </w:rPr>
        <w:t>Data were collected through structured interviews with 60 fisher respondents, field observations, and focus group discussions (FGDs) involving community leaders and village officials (Miles et al., 2014). Secondary data were obtained from local government reports, the Central Bureau of Statistics (BPS), and relevant policy documents related to fisheries and coastal community welfare (KKP, 2021).</w:t>
      </w:r>
    </w:p>
    <w:p w14:paraId="654EE951" w14:textId="1D545ED0" w:rsidR="00676EE7" w:rsidRPr="00075265" w:rsidRDefault="00676EE7" w:rsidP="00033CAD">
      <w:pPr>
        <w:jc w:val="both"/>
        <w:rPr>
          <w:rFonts w:ascii="Book Antiqua" w:hAnsi="Book Antiqua"/>
        </w:rPr>
      </w:pPr>
      <w:r w:rsidRPr="00075265">
        <w:rPr>
          <w:rFonts w:ascii="Book Antiqua" w:hAnsi="Book Antiqua"/>
        </w:rPr>
        <w:t>The analytical methods used include descriptive qualitative analysis to describe the socioeconomic conditions of fishers, and simple economic analysis to calculate additional income generated from fisheries business diversification activities (Fauzi, 2019).</w:t>
      </w:r>
    </w:p>
    <w:p w14:paraId="045D2AEC" w14:textId="6AC010BC" w:rsidR="008B4034" w:rsidRPr="00075265" w:rsidRDefault="00676EE7" w:rsidP="00033CAD">
      <w:pPr>
        <w:jc w:val="both"/>
        <w:rPr>
          <w:rFonts w:ascii="Book Antiqua" w:hAnsi="Book Antiqua"/>
          <w:b/>
          <w:bCs/>
          <w:sz w:val="24"/>
          <w:szCs w:val="24"/>
        </w:rPr>
      </w:pPr>
      <w:r w:rsidRPr="00075265">
        <w:rPr>
          <w:rFonts w:ascii="Book Antiqua" w:hAnsi="Book Antiqua"/>
          <w:b/>
          <w:bCs/>
          <w:sz w:val="24"/>
          <w:szCs w:val="24"/>
        </w:rPr>
        <w:t>Results</w:t>
      </w:r>
    </w:p>
    <w:p w14:paraId="4F9A4C07" w14:textId="16873FD9" w:rsidR="00676EE7" w:rsidRPr="00075265" w:rsidRDefault="00676EE7" w:rsidP="00676EE7">
      <w:pPr>
        <w:jc w:val="both"/>
        <w:rPr>
          <w:rFonts w:ascii="Book Antiqua" w:hAnsi="Book Antiqua"/>
        </w:rPr>
      </w:pPr>
      <w:r w:rsidRPr="00075265">
        <w:rPr>
          <w:rFonts w:ascii="Book Antiqua" w:hAnsi="Book Antiqua"/>
        </w:rPr>
        <w:t xml:space="preserve">Among the 60 fisher respondents surveyed during April–May, the average monthly income of those engaged in diversified activities—such as fish processing, small-scale aquaculture, or ecotourism—was IDR 3,200,000. This amount was notably higher than that of fishers who relied solely on capture fisheries, whose average income was IDR 2,150,000 per month. </w:t>
      </w:r>
      <w:r w:rsidRPr="00075265">
        <w:rPr>
          <w:rFonts w:ascii="Book Antiqua" w:hAnsi="Book Antiqua"/>
        </w:rPr>
        <w:lastRenderedPageBreak/>
        <w:t>Descriptive analysis indicates that business diversification contributes an additional 40–50% to fishers’ household income.</w:t>
      </w:r>
    </w:p>
    <w:p w14:paraId="2D5382FE" w14:textId="434F2DBC" w:rsidR="00676EE7" w:rsidRPr="00075265" w:rsidRDefault="00676EE7" w:rsidP="00676EE7">
      <w:pPr>
        <w:jc w:val="both"/>
        <w:rPr>
          <w:rFonts w:ascii="Book Antiqua" w:hAnsi="Book Antiqua"/>
        </w:rPr>
      </w:pPr>
      <w:r w:rsidRPr="00075265">
        <w:rPr>
          <w:rFonts w:ascii="Book Antiqua" w:hAnsi="Book Antiqua"/>
        </w:rPr>
        <w:t xml:space="preserve">The </w:t>
      </w:r>
      <w:r w:rsidRPr="00075265">
        <w:rPr>
          <w:rFonts w:ascii="Book Antiqua" w:hAnsi="Book Antiqua"/>
          <w:i/>
          <w:iCs/>
        </w:rPr>
        <w:t>t</w:t>
      </w:r>
      <w:r w:rsidRPr="00075265">
        <w:rPr>
          <w:rFonts w:ascii="Book Antiqua" w:hAnsi="Book Antiqua"/>
        </w:rPr>
        <w:t>-test results show a statistically significant difference in income between diversified and non-diversified fisher groups (</w:t>
      </w:r>
      <w:r w:rsidRPr="00075265">
        <w:rPr>
          <w:rFonts w:ascii="Book Antiqua" w:hAnsi="Book Antiqua"/>
          <w:i/>
          <w:iCs/>
        </w:rPr>
        <w:t>p</w:t>
      </w:r>
      <w:r w:rsidRPr="00075265">
        <w:rPr>
          <w:rFonts w:ascii="Book Antiqua" w:hAnsi="Book Antiqua"/>
        </w:rPr>
        <w:t xml:space="preserve"> &lt; 0.05), demonstrating that diversification has a tangible impact on improving welfare. Moreover, fishers with access to microcredit and fish-processing training recorded higher average incomes than those without such access.</w:t>
      </w:r>
    </w:p>
    <w:p w14:paraId="77D52276" w14:textId="77777777" w:rsidR="00676EE7" w:rsidRPr="00075265" w:rsidRDefault="00676EE7" w:rsidP="00676EE7">
      <w:pPr>
        <w:jc w:val="both"/>
        <w:rPr>
          <w:rFonts w:ascii="Book Antiqua" w:hAnsi="Book Antiqua"/>
        </w:rPr>
      </w:pPr>
      <w:r w:rsidRPr="00075265">
        <w:rPr>
          <w:rFonts w:ascii="Book Antiqua" w:hAnsi="Book Antiqua"/>
        </w:rPr>
        <w:t>Linear regression analysis reveals that the main factors influencing income improvement are business diversification (β = 0.32), access to credit (β = 0.21), and education level (β = 0.18). Age and fishing experience had smaller effects. The regression model explains approximately 62% of the variation in fishers’ income, indicating that socio-economic factors play a dominant role in determining welfare levels.</w:t>
      </w:r>
    </w:p>
    <w:p w14:paraId="08870C22" w14:textId="2D1AAAFD" w:rsidR="00BB556A" w:rsidRPr="00075265" w:rsidRDefault="00676EE7" w:rsidP="00676EE7">
      <w:pPr>
        <w:jc w:val="both"/>
        <w:rPr>
          <w:rFonts w:ascii="Book Antiqua" w:hAnsi="Book Antiqua"/>
        </w:rPr>
      </w:pPr>
      <w:r w:rsidRPr="00075265">
        <w:rPr>
          <w:rFonts w:ascii="Book Antiqua" w:hAnsi="Book Antiqua"/>
        </w:rPr>
        <w:t>Qualitative analysis from interviews supports these quantitative findings: fishers who participated in training programs and received cooperative support were better able to develop supplementary businesses, whereas those relying solely on fishing reported unstable incomes due to seasonal fluctuations. Thus, the integration of business diversification with enabling factors—such as access to capital, training, and markets—proves to be an effective strategy for enhancing the welfare of coastal fishers.</w:t>
      </w:r>
    </w:p>
    <w:p w14:paraId="21358F4F" w14:textId="61F69166" w:rsidR="008E5A03" w:rsidRDefault="00E77405" w:rsidP="008B4034">
      <w:pPr>
        <w:jc w:val="both"/>
        <w:rPr>
          <w:rFonts w:ascii="Book Antiqua" w:hAnsi="Book Antiqua"/>
          <w:b/>
          <w:bCs/>
          <w:sz w:val="24"/>
          <w:szCs w:val="24"/>
        </w:rPr>
      </w:pPr>
      <w:r w:rsidRPr="00075265">
        <w:rPr>
          <w:rFonts w:ascii="Book Antiqua" w:hAnsi="Book Antiqua"/>
          <w:b/>
          <w:bCs/>
          <w:sz w:val="24"/>
          <w:szCs w:val="24"/>
        </w:rPr>
        <w:t>Discussion</w:t>
      </w:r>
    </w:p>
    <w:p w14:paraId="54326D76" w14:textId="77777777" w:rsidR="00B61CD8" w:rsidRPr="00B61CD8" w:rsidRDefault="00B61CD8" w:rsidP="00B61CD8">
      <w:pPr>
        <w:jc w:val="both"/>
        <w:rPr>
          <w:rFonts w:ascii="Book Antiqua" w:hAnsi="Book Antiqua"/>
        </w:rPr>
      </w:pPr>
      <w:r w:rsidRPr="00B61CD8">
        <w:rPr>
          <w:rFonts w:ascii="Book Antiqua" w:hAnsi="Book Antiqua"/>
        </w:rPr>
        <w:t>The results of this study indicate that fishers who engage in business diversification have a higher average income than those who rely solely on capture fisheries. This finding is consistent with the household economic theory of fisheries, which emphasizes diversification as a key strategy to reduce risk and increase income. In this context, diversification refers to the effort of fishers to expand or engage in additional types of businesses beyond capture fisheries, such as fish processing, small-scale aquaculture, or trading activities. Through diversification, fishers are not solely dependent on fluctuating fishing catches but have additional income sources that help sustain their livelihoods during lean fishing seasons or periods of low catch. Diversification enables fishers to sustain their earnings during lean seasons or periods of declining catches.</w:t>
      </w:r>
    </w:p>
    <w:p w14:paraId="2D9E24C8" w14:textId="77777777" w:rsidR="00B61CD8" w:rsidRPr="00B61CD8" w:rsidRDefault="00B61CD8" w:rsidP="00B61CD8">
      <w:pPr>
        <w:jc w:val="both"/>
        <w:rPr>
          <w:rFonts w:ascii="Book Antiqua" w:hAnsi="Book Antiqua"/>
        </w:rPr>
      </w:pPr>
      <w:r w:rsidRPr="00B61CD8">
        <w:rPr>
          <w:rFonts w:ascii="Book Antiqua" w:hAnsi="Book Antiqua"/>
        </w:rPr>
        <w:t>The analysis results show that the average income of diversified fishers reached IDR 3,200,000, while non-diversified fishers earned only IDR 2,150,000. The difference of IDR 1,050,000 is substantial and demonstrates the tangible benefits of diversification. This gap represents more than 40% of the average income of non-diversified fishers, providing strong evidence to support the implementation of coastal economic diversification programs.</w:t>
      </w:r>
    </w:p>
    <w:p w14:paraId="26F5C920" w14:textId="77777777" w:rsidR="00B61CD8" w:rsidRPr="00B61CD8" w:rsidRDefault="00B61CD8" w:rsidP="00B61CD8">
      <w:pPr>
        <w:jc w:val="both"/>
        <w:rPr>
          <w:rFonts w:ascii="Book Antiqua" w:hAnsi="Book Antiqua"/>
        </w:rPr>
      </w:pPr>
      <w:r w:rsidRPr="00B61CD8">
        <w:rPr>
          <w:rFonts w:ascii="Book Antiqua" w:hAnsi="Book Antiqua"/>
        </w:rPr>
        <w:t>The standard deviation of income in the diversified group was relatively higher than that of the non-diversified group, indicating varying levels of success among different side businesses. Some fishers achieved significant income increases through fish processing or aquaculture, while others gained only small additional earnings. Factors such as skills, market access, and business capital play key roles in explaining these variations (Nur, 2021).</w:t>
      </w:r>
    </w:p>
    <w:p w14:paraId="3E319A81" w14:textId="77777777" w:rsidR="00B61CD8" w:rsidRPr="00B61CD8" w:rsidRDefault="00B61CD8" w:rsidP="00B61CD8">
      <w:pPr>
        <w:jc w:val="both"/>
        <w:rPr>
          <w:rFonts w:ascii="Book Antiqua" w:hAnsi="Book Antiqua"/>
        </w:rPr>
      </w:pPr>
      <w:r w:rsidRPr="00B61CD8">
        <w:rPr>
          <w:rFonts w:ascii="Book Antiqua" w:hAnsi="Book Antiqua"/>
        </w:rPr>
        <w:t xml:space="preserve">Statistical tests confirmed that the income difference between the two groups was significant at the 95% confidence level. This means that diversification truly affects welfare improvement and is not merely coincidental. These findings are consistent with previous studies in coastal </w:t>
      </w:r>
      <w:r w:rsidRPr="00B61CD8">
        <w:rPr>
          <w:rFonts w:ascii="Book Antiqua" w:hAnsi="Book Antiqua"/>
        </w:rPr>
        <w:lastRenderedPageBreak/>
        <w:t>areas of Java and Sulawesi, which also found that access to alternative livelihoods is an important factor in alleviating coastal poverty.</w:t>
      </w:r>
    </w:p>
    <w:p w14:paraId="10012474" w14:textId="77777777" w:rsidR="00B61CD8" w:rsidRPr="00B61CD8" w:rsidRDefault="00B61CD8" w:rsidP="00B61CD8">
      <w:pPr>
        <w:jc w:val="both"/>
        <w:rPr>
          <w:rFonts w:ascii="Book Antiqua" w:hAnsi="Book Antiqua"/>
        </w:rPr>
      </w:pPr>
      <w:r w:rsidRPr="00B61CD8">
        <w:rPr>
          <w:rFonts w:ascii="Book Antiqua" w:hAnsi="Book Antiqua"/>
        </w:rPr>
        <w:t>Further regression analysis revealed that diversification is not the only determinant of income improvement. Access to credit and education level also play crucial roles. Fishers with higher education tend to adopt new technologies and business strategies more quickly, while access to credit enables them to optimize the development of diversified enterprises. These findings align with the government’s vision of strengthening human resource capacity and capital accessibility in the marine and fisheries sector (KKP, 2021).</w:t>
      </w:r>
    </w:p>
    <w:p w14:paraId="5C4015BD" w14:textId="6C3FDC9A" w:rsidR="00B61CD8" w:rsidRPr="00B61CD8" w:rsidRDefault="00B61CD8" w:rsidP="008B4034">
      <w:pPr>
        <w:jc w:val="both"/>
        <w:rPr>
          <w:rFonts w:ascii="Book Antiqua" w:hAnsi="Book Antiqua"/>
        </w:rPr>
      </w:pPr>
      <w:r w:rsidRPr="00B61CD8">
        <w:rPr>
          <w:rFonts w:ascii="Book Antiqua" w:hAnsi="Book Antiqua"/>
        </w:rPr>
        <w:t>Qualitative findings from interviews support the quantitative data: fishers who received training and cooperative support reported higher welfare levels and greater economic resilience during uncertain fishing seasons. Therefore, business diversification, access to financial support, and human resource capacity development can be integrated into a comprehensive strategy for improving the welfare of coastal communities. This recommendation aligns with the government’s mission to foster sustainable economic independence among coastal populations</w:t>
      </w:r>
      <w:r>
        <w:rPr>
          <w:rFonts w:ascii="Book Antiqua" w:hAnsi="Book Antiqua"/>
        </w:rPr>
        <w:t>.</w:t>
      </w:r>
    </w:p>
    <w:p w14:paraId="5582C749" w14:textId="1B113B8B" w:rsidR="008E5A03" w:rsidRPr="00075265" w:rsidRDefault="00B93B67" w:rsidP="008E5A03">
      <w:pPr>
        <w:jc w:val="both"/>
        <w:rPr>
          <w:rFonts w:ascii="Book Antiqua" w:hAnsi="Book Antiqua"/>
          <w:b/>
          <w:bCs/>
          <w:sz w:val="24"/>
          <w:szCs w:val="24"/>
        </w:rPr>
      </w:pPr>
      <w:r w:rsidRPr="00075265">
        <w:rPr>
          <w:rFonts w:ascii="Book Antiqua" w:hAnsi="Book Antiqua"/>
          <w:b/>
          <w:bCs/>
          <w:sz w:val="24"/>
          <w:szCs w:val="24"/>
        </w:rPr>
        <w:t>Conclusion</w:t>
      </w:r>
    </w:p>
    <w:p w14:paraId="4B19F2B5" w14:textId="39423C04" w:rsidR="00B93B67" w:rsidRPr="00075265" w:rsidRDefault="00B93B67" w:rsidP="00B93B67">
      <w:pPr>
        <w:jc w:val="both"/>
        <w:rPr>
          <w:rFonts w:ascii="Book Antiqua" w:hAnsi="Book Antiqua"/>
        </w:rPr>
      </w:pPr>
      <w:r w:rsidRPr="00075265">
        <w:rPr>
          <w:rFonts w:ascii="Book Antiqua" w:hAnsi="Book Antiqua"/>
        </w:rPr>
        <w:t>The results of this study show that fisheries business diversification—such as fish processing, household-scale aquaculture, and ecotourism—significantly increases the average income of fishing families compared to those who rely solely on capture fisheries. The income difference of more than 40% confirms that diversification can serve as an effective strategy to improve the welfare of coastal communities.</w:t>
      </w:r>
    </w:p>
    <w:p w14:paraId="289B6AD3" w14:textId="6AEE0463" w:rsidR="008E5A03" w:rsidRPr="00075265" w:rsidRDefault="00B93B67" w:rsidP="00B93B67">
      <w:pPr>
        <w:jc w:val="both"/>
        <w:rPr>
          <w:rFonts w:ascii="Book Antiqua" w:hAnsi="Book Antiqua"/>
        </w:rPr>
      </w:pPr>
      <w:r w:rsidRPr="00075265">
        <w:rPr>
          <w:rFonts w:ascii="Book Antiqua" w:hAnsi="Book Antiqua"/>
        </w:rPr>
        <w:t>Supporting factors such as access to credit, training, and education level also contribute to increasing fishers’ income. Therefore, efforts to enhance the welfare of coastal communities should be carried out through an integrated strategy that not only promotes business diversification but also strengthens access to financing and human resource capacity development. This aligns with the government’s vision of building independent, prosperous, and sustainable coastal communities.</w:t>
      </w:r>
    </w:p>
    <w:p w14:paraId="0C270779" w14:textId="256322F4" w:rsidR="008E5A03" w:rsidRPr="00075265" w:rsidRDefault="00B93B67" w:rsidP="008E5A03">
      <w:pPr>
        <w:jc w:val="both"/>
        <w:rPr>
          <w:rFonts w:ascii="Book Antiqua" w:hAnsi="Book Antiqua"/>
          <w:b/>
          <w:bCs/>
          <w:sz w:val="24"/>
          <w:szCs w:val="24"/>
        </w:rPr>
      </w:pPr>
      <w:r w:rsidRPr="00075265">
        <w:rPr>
          <w:rFonts w:ascii="Book Antiqua" w:hAnsi="Book Antiqua"/>
          <w:b/>
          <w:bCs/>
          <w:sz w:val="24"/>
          <w:szCs w:val="24"/>
        </w:rPr>
        <w:t>References</w:t>
      </w:r>
    </w:p>
    <w:p w14:paraId="37E3F62C"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Adger, W. N. (2003). Social Capital, Collective Action, and Adaptation to Climate Change. </w:t>
      </w:r>
      <w:r w:rsidRPr="00075265">
        <w:rPr>
          <w:rFonts w:ascii="Book Antiqua" w:hAnsi="Book Antiqua"/>
          <w:i/>
          <w:iCs/>
          <w:sz w:val="24"/>
          <w:szCs w:val="24"/>
        </w:rPr>
        <w:t>Economic Geography</w:t>
      </w:r>
      <w:r w:rsidRPr="00075265">
        <w:rPr>
          <w:rFonts w:ascii="Book Antiqua" w:hAnsi="Book Antiqua"/>
          <w:sz w:val="24"/>
          <w:szCs w:val="24"/>
        </w:rPr>
        <w:t>, 79(4), 387–404.</w:t>
      </w:r>
    </w:p>
    <w:p w14:paraId="3F67BFF0"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Allison, E.H., &amp; Ellis, F. (2001). </w:t>
      </w:r>
      <w:r w:rsidRPr="00075265">
        <w:rPr>
          <w:rFonts w:ascii="Book Antiqua" w:hAnsi="Book Antiqua"/>
          <w:i/>
          <w:iCs/>
          <w:sz w:val="24"/>
          <w:szCs w:val="24"/>
        </w:rPr>
        <w:t>The livelihoods approach and management of small-scale fisheries</w:t>
      </w:r>
      <w:r w:rsidRPr="00075265">
        <w:rPr>
          <w:rFonts w:ascii="Book Antiqua" w:hAnsi="Book Antiqua"/>
          <w:sz w:val="24"/>
          <w:szCs w:val="24"/>
        </w:rPr>
        <w:t>. Marine Policy, 25(5), 377–388.</w:t>
      </w:r>
    </w:p>
    <w:p w14:paraId="0A3B3EBF"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Bailey, C., &amp; Pomeroy, R. (2020). Coastal Livelihoods and Fisheries Diversification. </w:t>
      </w:r>
      <w:r w:rsidRPr="00075265">
        <w:rPr>
          <w:rFonts w:ascii="Book Antiqua" w:hAnsi="Book Antiqua"/>
          <w:i/>
          <w:iCs/>
          <w:sz w:val="24"/>
          <w:szCs w:val="24"/>
        </w:rPr>
        <w:t>Marine Policy Journal</w:t>
      </w:r>
      <w:r w:rsidRPr="00075265">
        <w:rPr>
          <w:rFonts w:ascii="Book Antiqua" w:hAnsi="Book Antiqua"/>
          <w:sz w:val="24"/>
          <w:szCs w:val="24"/>
        </w:rPr>
        <w:t>, 112, 103735.</w:t>
      </w:r>
    </w:p>
    <w:p w14:paraId="1DE2CFB9"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Bailey, M., Bush, S.R., &amp; Miller, A. (2018). </w:t>
      </w:r>
      <w:r w:rsidRPr="00075265">
        <w:rPr>
          <w:rFonts w:ascii="Book Antiqua" w:hAnsi="Book Antiqua"/>
          <w:i/>
          <w:iCs/>
          <w:sz w:val="24"/>
          <w:szCs w:val="24"/>
        </w:rPr>
        <w:t>The role of traceability in transforming seafood governance</w:t>
      </w:r>
      <w:r w:rsidRPr="00075265">
        <w:rPr>
          <w:rFonts w:ascii="Book Antiqua" w:hAnsi="Book Antiqua"/>
          <w:sz w:val="24"/>
          <w:szCs w:val="24"/>
        </w:rPr>
        <w:t>. Current Opinion in Environmental Sustainability, 33, 25–32.</w:t>
      </w:r>
    </w:p>
    <w:p w14:paraId="2147B7BD"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Béné, C. (2006). </w:t>
      </w:r>
      <w:r w:rsidRPr="00075265">
        <w:rPr>
          <w:rFonts w:ascii="Book Antiqua" w:hAnsi="Book Antiqua"/>
          <w:i/>
          <w:iCs/>
          <w:sz w:val="24"/>
          <w:szCs w:val="24"/>
        </w:rPr>
        <w:t>Small-scale fisheries: assessing their contribution to rural livelihoods in developing countries</w:t>
      </w:r>
      <w:r w:rsidRPr="00075265">
        <w:rPr>
          <w:rFonts w:ascii="Book Antiqua" w:hAnsi="Book Antiqua"/>
          <w:sz w:val="24"/>
          <w:szCs w:val="24"/>
        </w:rPr>
        <w:t>. FAO Fisheries Circular No. 1008. Rome: FAO.</w:t>
      </w:r>
    </w:p>
    <w:p w14:paraId="576084BB"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BPS. (2023). </w:t>
      </w:r>
      <w:r w:rsidRPr="00075265">
        <w:rPr>
          <w:rFonts w:ascii="Book Antiqua" w:hAnsi="Book Antiqua"/>
          <w:i/>
          <w:iCs/>
          <w:sz w:val="24"/>
          <w:szCs w:val="24"/>
        </w:rPr>
        <w:t>Statistik Kesejahteraan Rakyat Indonesia</w:t>
      </w:r>
      <w:r w:rsidRPr="00075265">
        <w:rPr>
          <w:rFonts w:ascii="Book Antiqua" w:hAnsi="Book Antiqua"/>
          <w:sz w:val="24"/>
          <w:szCs w:val="24"/>
        </w:rPr>
        <w:t>. Badan Pusat Statistik.</w:t>
      </w:r>
    </w:p>
    <w:p w14:paraId="2CD0E72E"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Chambers, R. (1997). </w:t>
      </w:r>
      <w:r w:rsidRPr="00075265">
        <w:rPr>
          <w:rFonts w:ascii="Book Antiqua" w:hAnsi="Book Antiqua"/>
          <w:i/>
          <w:iCs/>
          <w:sz w:val="24"/>
          <w:szCs w:val="24"/>
        </w:rPr>
        <w:t>Whose Reality Counts? Putting the First Last</w:t>
      </w:r>
      <w:r w:rsidRPr="00075265">
        <w:rPr>
          <w:rFonts w:ascii="Book Antiqua" w:hAnsi="Book Antiqua"/>
          <w:sz w:val="24"/>
          <w:szCs w:val="24"/>
        </w:rPr>
        <w:t>. London: Intermediate Technology.</w:t>
      </w:r>
    </w:p>
    <w:p w14:paraId="6541A31B"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lastRenderedPageBreak/>
        <w:t xml:space="preserve">Darmawan, A. (2022). </w:t>
      </w:r>
      <w:r w:rsidRPr="00075265">
        <w:rPr>
          <w:rFonts w:ascii="Book Antiqua" w:hAnsi="Book Antiqua"/>
          <w:i/>
          <w:iCs/>
          <w:sz w:val="24"/>
          <w:szCs w:val="24"/>
        </w:rPr>
        <w:t>Strategi Diversifikasi Ekonomi untuk Peningkatan Kesejahteraan Masyarakat Pesisir</w:t>
      </w:r>
      <w:r w:rsidRPr="00075265">
        <w:rPr>
          <w:rFonts w:ascii="Book Antiqua" w:hAnsi="Book Antiqua"/>
          <w:sz w:val="24"/>
          <w:szCs w:val="24"/>
        </w:rPr>
        <w:t>. Jurnal Sosial Ekonomi Kelautan, 15(2), 101–115.</w:t>
      </w:r>
    </w:p>
    <w:p w14:paraId="221B2305"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FAO. (2021). </w:t>
      </w:r>
      <w:r w:rsidRPr="00075265">
        <w:rPr>
          <w:rFonts w:ascii="Book Antiqua" w:hAnsi="Book Antiqua"/>
          <w:i/>
          <w:iCs/>
          <w:sz w:val="24"/>
          <w:szCs w:val="24"/>
        </w:rPr>
        <w:t>The State of World Fisheries and Aquaculture 2021</w:t>
      </w:r>
      <w:r w:rsidRPr="00075265">
        <w:rPr>
          <w:rFonts w:ascii="Book Antiqua" w:hAnsi="Book Antiqua"/>
          <w:sz w:val="24"/>
          <w:szCs w:val="24"/>
        </w:rPr>
        <w:t>. Rome: Food and Agriculture Organization.</w:t>
      </w:r>
    </w:p>
    <w:p w14:paraId="2C3F1C14"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Fauzi, A. (2019). </w:t>
      </w:r>
      <w:r w:rsidRPr="00075265">
        <w:rPr>
          <w:rFonts w:ascii="Book Antiqua" w:hAnsi="Book Antiqua"/>
          <w:i/>
          <w:iCs/>
          <w:sz w:val="24"/>
          <w:szCs w:val="24"/>
        </w:rPr>
        <w:t>Ekonomi Sumber Daya Alam dan Lingkungan</w:t>
      </w:r>
      <w:r w:rsidRPr="00075265">
        <w:rPr>
          <w:rFonts w:ascii="Book Antiqua" w:hAnsi="Book Antiqua"/>
          <w:sz w:val="24"/>
          <w:szCs w:val="24"/>
        </w:rPr>
        <w:t>. Jakarta: Gramedia.</w:t>
      </w:r>
    </w:p>
    <w:p w14:paraId="024799BC"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Fitri, H. (2012). </w:t>
      </w:r>
      <w:r w:rsidRPr="00075265">
        <w:rPr>
          <w:rFonts w:ascii="Book Antiqua" w:hAnsi="Book Antiqua"/>
          <w:i/>
          <w:iCs/>
          <w:sz w:val="24"/>
          <w:szCs w:val="24"/>
        </w:rPr>
        <w:t>Pengelolaan Perikanan Rajungan di Indonesia</w:t>
      </w:r>
      <w:r w:rsidRPr="00075265">
        <w:rPr>
          <w:rFonts w:ascii="Book Antiqua" w:hAnsi="Book Antiqua"/>
          <w:sz w:val="24"/>
          <w:szCs w:val="24"/>
        </w:rPr>
        <w:t>. Jurnal Perikanan Nusantara, 5(2), 45–53.</w:t>
      </w:r>
    </w:p>
    <w:p w14:paraId="0FE18197"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Kementerian Kelautan dan Perikanan (KKP). (2021). </w:t>
      </w:r>
      <w:r w:rsidRPr="00075265">
        <w:rPr>
          <w:rFonts w:ascii="Book Antiqua" w:hAnsi="Book Antiqua"/>
          <w:i/>
          <w:iCs/>
          <w:sz w:val="24"/>
          <w:szCs w:val="24"/>
        </w:rPr>
        <w:t>Rencana Strategis KKP 2020–2024</w:t>
      </w:r>
      <w:r w:rsidRPr="00075265">
        <w:rPr>
          <w:rFonts w:ascii="Book Antiqua" w:hAnsi="Book Antiqua"/>
          <w:sz w:val="24"/>
          <w:szCs w:val="24"/>
        </w:rPr>
        <w:t>. Jakarta: KKP.</w:t>
      </w:r>
    </w:p>
    <w:p w14:paraId="59352B7D"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KKP. (2020). </w:t>
      </w:r>
      <w:r w:rsidRPr="00075265">
        <w:rPr>
          <w:rFonts w:ascii="Book Antiqua" w:hAnsi="Book Antiqua"/>
          <w:i/>
          <w:iCs/>
          <w:sz w:val="24"/>
          <w:szCs w:val="24"/>
        </w:rPr>
        <w:t>Laporan Statistik Perikanan Tangkap Indonesia</w:t>
      </w:r>
      <w:r w:rsidRPr="00075265">
        <w:rPr>
          <w:rFonts w:ascii="Book Antiqua" w:hAnsi="Book Antiqua"/>
          <w:sz w:val="24"/>
          <w:szCs w:val="24"/>
        </w:rPr>
        <w:t>. Kementerian Kelautan dan Perikanan RI.</w:t>
      </w:r>
    </w:p>
    <w:p w14:paraId="050126E2"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KKP. (2022). </w:t>
      </w:r>
      <w:r w:rsidRPr="00075265">
        <w:rPr>
          <w:rFonts w:ascii="Book Antiqua" w:hAnsi="Book Antiqua"/>
          <w:i/>
          <w:iCs/>
          <w:sz w:val="24"/>
          <w:szCs w:val="24"/>
        </w:rPr>
        <w:t>Pedoman Pemberdayaan Masyarakat Pesisir</w:t>
      </w:r>
      <w:r w:rsidRPr="00075265">
        <w:rPr>
          <w:rFonts w:ascii="Book Antiqua" w:hAnsi="Book Antiqua"/>
          <w:sz w:val="24"/>
          <w:szCs w:val="24"/>
        </w:rPr>
        <w:t>. Jakarta: Direktorat Pemberdayaan Nelayan.</w:t>
      </w:r>
    </w:p>
    <w:p w14:paraId="0454F048"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KKP. (2023). </w:t>
      </w:r>
      <w:r w:rsidRPr="00075265">
        <w:rPr>
          <w:rFonts w:ascii="Book Antiqua" w:hAnsi="Book Antiqua"/>
          <w:i/>
          <w:iCs/>
          <w:sz w:val="24"/>
          <w:szCs w:val="24"/>
        </w:rPr>
        <w:t>Ekonomi Biru untuk Pembangunan Berkelanjutan</w:t>
      </w:r>
      <w:r w:rsidRPr="00075265">
        <w:rPr>
          <w:rFonts w:ascii="Book Antiqua" w:hAnsi="Book Antiqua"/>
          <w:sz w:val="24"/>
          <w:szCs w:val="24"/>
        </w:rPr>
        <w:t>. Jakarta: Kementerian Kelautan dan Perikanan.</w:t>
      </w:r>
    </w:p>
    <w:p w14:paraId="499299C7"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Kusnadi. (2018). </w:t>
      </w:r>
      <w:r w:rsidRPr="00075265">
        <w:rPr>
          <w:rFonts w:ascii="Book Antiqua" w:hAnsi="Book Antiqua"/>
          <w:i/>
          <w:iCs/>
          <w:sz w:val="24"/>
          <w:szCs w:val="24"/>
        </w:rPr>
        <w:t>Kemiskinan Nelayan: Problem dan Strategi Pengentasannya</w:t>
      </w:r>
      <w:r w:rsidRPr="00075265">
        <w:rPr>
          <w:rFonts w:ascii="Book Antiqua" w:hAnsi="Book Antiqua"/>
          <w:sz w:val="24"/>
          <w:szCs w:val="24"/>
        </w:rPr>
        <w:t>. Yogyakarta: LKiS.</w:t>
      </w:r>
    </w:p>
    <w:p w14:paraId="182233CC"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Miles, M. B., Huberman, A. M., &amp; Saldaña, J. (2014). </w:t>
      </w:r>
      <w:r w:rsidRPr="00075265">
        <w:rPr>
          <w:rFonts w:ascii="Book Antiqua" w:hAnsi="Book Antiqua"/>
          <w:i/>
          <w:iCs/>
          <w:sz w:val="24"/>
          <w:szCs w:val="24"/>
        </w:rPr>
        <w:t>Qualitative Data Analysis</w:t>
      </w:r>
      <w:r w:rsidRPr="00075265">
        <w:rPr>
          <w:rFonts w:ascii="Book Antiqua" w:hAnsi="Book Antiqua"/>
          <w:sz w:val="24"/>
          <w:szCs w:val="24"/>
        </w:rPr>
        <w:t>. London: Sage.</w:t>
      </w:r>
    </w:p>
    <w:p w14:paraId="7329DE0A"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Nur, H. (2021). </w:t>
      </w:r>
      <w:r w:rsidRPr="00075265">
        <w:rPr>
          <w:rFonts w:ascii="Book Antiqua" w:hAnsi="Book Antiqua"/>
          <w:i/>
          <w:iCs/>
          <w:sz w:val="24"/>
          <w:szCs w:val="24"/>
        </w:rPr>
        <w:t>Peran Diversifikasi Usaha dalam Meningkatkan Pendapatan Nelayan di Sulawesi Selatan</w:t>
      </w:r>
      <w:r w:rsidRPr="00075265">
        <w:rPr>
          <w:rFonts w:ascii="Book Antiqua" w:hAnsi="Book Antiqua"/>
          <w:sz w:val="24"/>
          <w:szCs w:val="24"/>
        </w:rPr>
        <w:t>. Jurnal Ekonomi Maritim, 8(1), 55–67.</w:t>
      </w:r>
    </w:p>
    <w:p w14:paraId="28382A08"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Pitcher, T.J., &amp; Lam, M.E. (2015). </w:t>
      </w:r>
      <w:r w:rsidRPr="00075265">
        <w:rPr>
          <w:rFonts w:ascii="Book Antiqua" w:hAnsi="Book Antiqua"/>
          <w:i/>
          <w:iCs/>
          <w:sz w:val="24"/>
          <w:szCs w:val="24"/>
        </w:rPr>
        <w:t>Fish commoditization and the historical origins of catching fish for profit</w:t>
      </w:r>
      <w:r w:rsidRPr="00075265">
        <w:rPr>
          <w:rFonts w:ascii="Book Antiqua" w:hAnsi="Book Antiqua"/>
          <w:sz w:val="24"/>
          <w:szCs w:val="24"/>
        </w:rPr>
        <w:t>. Maritime Studies, 14(2), 1–19.</w:t>
      </w:r>
    </w:p>
    <w:p w14:paraId="65ED49A5"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Pomeroy, R., &amp; Andrew, N. (2011). </w:t>
      </w:r>
      <w:r w:rsidRPr="00075265">
        <w:rPr>
          <w:rFonts w:ascii="Book Antiqua" w:hAnsi="Book Antiqua"/>
          <w:i/>
          <w:iCs/>
          <w:sz w:val="24"/>
          <w:szCs w:val="24"/>
        </w:rPr>
        <w:t>Small-scale Fisheries Management</w:t>
      </w:r>
      <w:r w:rsidRPr="00075265">
        <w:rPr>
          <w:rFonts w:ascii="Book Antiqua" w:hAnsi="Book Antiqua"/>
          <w:sz w:val="24"/>
          <w:szCs w:val="24"/>
        </w:rPr>
        <w:t>. London: CABI.</w:t>
      </w:r>
    </w:p>
    <w:p w14:paraId="5B2F1E06"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Satria, A. (2015). </w:t>
      </w:r>
      <w:r w:rsidRPr="00075265">
        <w:rPr>
          <w:rFonts w:ascii="Book Antiqua" w:hAnsi="Book Antiqua"/>
          <w:i/>
          <w:iCs/>
          <w:sz w:val="24"/>
          <w:szCs w:val="24"/>
        </w:rPr>
        <w:t>Sosiologi Masyarakat Pesisir</w:t>
      </w:r>
      <w:r w:rsidRPr="00075265">
        <w:rPr>
          <w:rFonts w:ascii="Book Antiqua" w:hAnsi="Book Antiqua"/>
          <w:sz w:val="24"/>
          <w:szCs w:val="24"/>
        </w:rPr>
        <w:t>. Jakarta: Yayasan Obor.</w:t>
      </w:r>
    </w:p>
    <w:p w14:paraId="399FB947" w14:textId="77777777" w:rsidR="005D4B9B" w:rsidRPr="00075265" w:rsidRDefault="005D4B9B" w:rsidP="00053ABA">
      <w:pPr>
        <w:spacing w:after="0"/>
        <w:ind w:left="709" w:hanging="709"/>
        <w:jc w:val="both"/>
        <w:rPr>
          <w:rFonts w:ascii="Book Antiqua" w:hAnsi="Book Antiqua"/>
          <w:sz w:val="24"/>
          <w:szCs w:val="24"/>
        </w:rPr>
      </w:pPr>
      <w:r w:rsidRPr="00075265">
        <w:rPr>
          <w:rFonts w:ascii="Book Antiqua" w:hAnsi="Book Antiqua"/>
          <w:sz w:val="24"/>
          <w:szCs w:val="24"/>
        </w:rPr>
        <w:t xml:space="preserve">Sudirman, M. (2020). </w:t>
      </w:r>
      <w:r w:rsidRPr="00075265">
        <w:rPr>
          <w:rFonts w:ascii="Book Antiqua" w:hAnsi="Book Antiqua"/>
          <w:i/>
          <w:iCs/>
          <w:sz w:val="24"/>
          <w:szCs w:val="24"/>
        </w:rPr>
        <w:t>Analisis Kesejahteraan Nelayan Melalui Diversifikasi Usaha Perikanan</w:t>
      </w:r>
      <w:r w:rsidRPr="00075265">
        <w:rPr>
          <w:rFonts w:ascii="Book Antiqua" w:hAnsi="Book Antiqua"/>
          <w:sz w:val="24"/>
          <w:szCs w:val="24"/>
        </w:rPr>
        <w:t>. Jurnal Perikanan dan Kelautan, 12(3), 203–212.</w:t>
      </w:r>
    </w:p>
    <w:p w14:paraId="3F939E40"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Sugiyono. (2017). </w:t>
      </w:r>
      <w:r w:rsidRPr="00075265">
        <w:rPr>
          <w:rFonts w:ascii="Book Antiqua" w:hAnsi="Book Antiqua"/>
          <w:i/>
          <w:iCs/>
          <w:sz w:val="24"/>
          <w:szCs w:val="24"/>
        </w:rPr>
        <w:t>Metode Penelitian Kuantitatif, Kualitatif, dan R&amp;D</w:t>
      </w:r>
      <w:r w:rsidRPr="00075265">
        <w:rPr>
          <w:rFonts w:ascii="Book Antiqua" w:hAnsi="Book Antiqua"/>
          <w:sz w:val="24"/>
          <w:szCs w:val="24"/>
        </w:rPr>
        <w:t>. Bandung: Alfabeta.</w:t>
      </w:r>
    </w:p>
    <w:p w14:paraId="1D2AE5B4"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World Bank. (2021). </w:t>
      </w:r>
      <w:r w:rsidRPr="00075265">
        <w:rPr>
          <w:rFonts w:ascii="Book Antiqua" w:hAnsi="Book Antiqua"/>
          <w:i/>
          <w:iCs/>
          <w:sz w:val="24"/>
          <w:szCs w:val="24"/>
        </w:rPr>
        <w:t>Blue Economy Development Framework</w:t>
      </w:r>
      <w:r w:rsidRPr="00075265">
        <w:rPr>
          <w:rFonts w:ascii="Book Antiqua" w:hAnsi="Book Antiqua"/>
          <w:sz w:val="24"/>
          <w:szCs w:val="24"/>
        </w:rPr>
        <w:t>. Washington DC: World Bank.</w:t>
      </w:r>
    </w:p>
    <w:p w14:paraId="11BAE5D0" w14:textId="77777777" w:rsidR="005D4B9B" w:rsidRPr="00075265" w:rsidRDefault="005D4B9B" w:rsidP="00053ABA">
      <w:pPr>
        <w:spacing w:after="0"/>
        <w:jc w:val="both"/>
        <w:rPr>
          <w:rFonts w:ascii="Book Antiqua" w:hAnsi="Book Antiqua"/>
          <w:sz w:val="24"/>
          <w:szCs w:val="24"/>
        </w:rPr>
      </w:pPr>
      <w:r w:rsidRPr="00075265">
        <w:rPr>
          <w:rFonts w:ascii="Book Antiqua" w:hAnsi="Book Antiqua"/>
          <w:sz w:val="24"/>
          <w:szCs w:val="24"/>
        </w:rPr>
        <w:t xml:space="preserve">Yin, R. K. (2018). </w:t>
      </w:r>
      <w:r w:rsidRPr="00075265">
        <w:rPr>
          <w:rFonts w:ascii="Book Antiqua" w:hAnsi="Book Antiqua"/>
          <w:i/>
          <w:iCs/>
          <w:sz w:val="24"/>
          <w:szCs w:val="24"/>
        </w:rPr>
        <w:t>Case Study Research and Applications</w:t>
      </w:r>
      <w:r w:rsidRPr="00075265">
        <w:rPr>
          <w:rFonts w:ascii="Book Antiqua" w:hAnsi="Book Antiqua"/>
          <w:sz w:val="24"/>
          <w:szCs w:val="24"/>
        </w:rPr>
        <w:t>. Los Angeles: Sage.</w:t>
      </w:r>
    </w:p>
    <w:p w14:paraId="2E74F6AA" w14:textId="77777777" w:rsidR="005D4B9B" w:rsidRPr="005D4B9B" w:rsidRDefault="005D4B9B" w:rsidP="005D4B9B">
      <w:pPr>
        <w:jc w:val="both"/>
        <w:rPr>
          <w:sz w:val="24"/>
          <w:szCs w:val="24"/>
        </w:rPr>
      </w:pPr>
    </w:p>
    <w:p w14:paraId="5E83AD8D" w14:textId="77777777" w:rsidR="005D4B9B" w:rsidRPr="005D4B9B" w:rsidRDefault="005D4B9B" w:rsidP="005D4B9B">
      <w:pPr>
        <w:jc w:val="both"/>
        <w:rPr>
          <w:sz w:val="24"/>
          <w:szCs w:val="24"/>
        </w:rPr>
      </w:pPr>
    </w:p>
    <w:p w14:paraId="1BA82FC6" w14:textId="77777777" w:rsidR="005D4B9B" w:rsidRPr="005D4B9B" w:rsidRDefault="005D4B9B" w:rsidP="008E5A03">
      <w:pPr>
        <w:jc w:val="both"/>
        <w:rPr>
          <w:sz w:val="24"/>
          <w:szCs w:val="24"/>
        </w:rPr>
      </w:pPr>
    </w:p>
    <w:p w14:paraId="73393F43" w14:textId="77777777" w:rsidR="005D4B9B" w:rsidRPr="008E5A03" w:rsidRDefault="005D4B9B" w:rsidP="008E5A03">
      <w:pPr>
        <w:jc w:val="both"/>
        <w:rPr>
          <w:sz w:val="24"/>
          <w:szCs w:val="24"/>
        </w:rPr>
      </w:pPr>
    </w:p>
    <w:p w14:paraId="08358190" w14:textId="77777777" w:rsidR="008E5A03" w:rsidRPr="008E5A03" w:rsidRDefault="008E5A03" w:rsidP="008B4034">
      <w:pPr>
        <w:jc w:val="both"/>
        <w:rPr>
          <w:sz w:val="24"/>
          <w:szCs w:val="24"/>
        </w:rPr>
      </w:pPr>
    </w:p>
    <w:p w14:paraId="28E98C21" w14:textId="36583492" w:rsidR="008B4034" w:rsidRPr="008B4034" w:rsidRDefault="008B4034" w:rsidP="008B4034">
      <w:pPr>
        <w:jc w:val="center"/>
        <w:rPr>
          <w:sz w:val="24"/>
          <w:szCs w:val="24"/>
        </w:rPr>
      </w:pPr>
    </w:p>
    <w:p w14:paraId="5C3659BA" w14:textId="77777777" w:rsidR="008B4034" w:rsidRPr="00033CAD" w:rsidRDefault="008B4034" w:rsidP="00033CAD">
      <w:pPr>
        <w:jc w:val="both"/>
        <w:rPr>
          <w:sz w:val="24"/>
          <w:szCs w:val="24"/>
        </w:rPr>
      </w:pPr>
    </w:p>
    <w:p w14:paraId="03FDFC34" w14:textId="77777777" w:rsidR="00033CAD" w:rsidRPr="00033CAD" w:rsidRDefault="00033CAD" w:rsidP="00033CAD">
      <w:pPr>
        <w:jc w:val="both"/>
        <w:rPr>
          <w:sz w:val="24"/>
          <w:szCs w:val="24"/>
        </w:rPr>
      </w:pPr>
    </w:p>
    <w:sectPr w:rsidR="00033CAD" w:rsidRPr="00033CAD" w:rsidSect="006B6A15">
      <w:footerReference w:type="even" r:id="rId8"/>
      <w:footerReference w:type="default" r:id="rId9"/>
      <w:pgSz w:w="11906" w:h="16838"/>
      <w:pgMar w:top="1440" w:right="1440" w:bottom="1440" w:left="1440"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7AE9" w14:textId="77777777" w:rsidR="00856F05" w:rsidRDefault="00856F05" w:rsidP="0061666E">
      <w:pPr>
        <w:spacing w:after="0" w:line="240" w:lineRule="auto"/>
      </w:pPr>
      <w:r>
        <w:separator/>
      </w:r>
    </w:p>
  </w:endnote>
  <w:endnote w:type="continuationSeparator" w:id="0">
    <w:p w14:paraId="5C1B7256" w14:textId="77777777" w:rsidR="00856F05" w:rsidRDefault="00856F05" w:rsidP="0061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F0AF" w14:textId="5839E5DF" w:rsidR="003C16E9" w:rsidRDefault="003C16E9">
    <w:pPr>
      <w:pStyle w:val="Footer"/>
    </w:pPr>
    <w: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208785"/>
      <w:docPartObj>
        <w:docPartGallery w:val="Page Numbers (Bottom of Page)"/>
        <w:docPartUnique/>
      </w:docPartObj>
    </w:sdtPr>
    <w:sdtEndPr>
      <w:rPr>
        <w:noProof/>
      </w:rPr>
    </w:sdtEndPr>
    <w:sdtContent>
      <w:p w14:paraId="2F7AC51E" w14:textId="652E7970" w:rsidR="006B6A15" w:rsidRDefault="006B6A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9668C2" w14:textId="77777777" w:rsidR="003C16E9" w:rsidRDefault="003C1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BECD" w14:textId="77777777" w:rsidR="00856F05" w:rsidRDefault="00856F05" w:rsidP="0061666E">
      <w:pPr>
        <w:spacing w:after="0" w:line="240" w:lineRule="auto"/>
      </w:pPr>
      <w:r>
        <w:separator/>
      </w:r>
    </w:p>
  </w:footnote>
  <w:footnote w:type="continuationSeparator" w:id="0">
    <w:p w14:paraId="6B12831C" w14:textId="77777777" w:rsidR="00856F05" w:rsidRDefault="00856F05" w:rsidP="006166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C6"/>
    <w:rsid w:val="00033CAD"/>
    <w:rsid w:val="00053ABA"/>
    <w:rsid w:val="00075265"/>
    <w:rsid w:val="000E470B"/>
    <w:rsid w:val="00100B8C"/>
    <w:rsid w:val="001158EB"/>
    <w:rsid w:val="00181DFE"/>
    <w:rsid w:val="001B158F"/>
    <w:rsid w:val="002155B3"/>
    <w:rsid w:val="00261786"/>
    <w:rsid w:val="00286BAD"/>
    <w:rsid w:val="002A3BAC"/>
    <w:rsid w:val="002B4C1F"/>
    <w:rsid w:val="003C16E9"/>
    <w:rsid w:val="003C7009"/>
    <w:rsid w:val="00444080"/>
    <w:rsid w:val="00447606"/>
    <w:rsid w:val="00450F5C"/>
    <w:rsid w:val="004A1811"/>
    <w:rsid w:val="004D0818"/>
    <w:rsid w:val="00551E94"/>
    <w:rsid w:val="00553163"/>
    <w:rsid w:val="005B3C5A"/>
    <w:rsid w:val="005D4B9B"/>
    <w:rsid w:val="00604989"/>
    <w:rsid w:val="0061666E"/>
    <w:rsid w:val="00656E26"/>
    <w:rsid w:val="00676EE7"/>
    <w:rsid w:val="006B6388"/>
    <w:rsid w:val="006B6A15"/>
    <w:rsid w:val="0072769C"/>
    <w:rsid w:val="008042E9"/>
    <w:rsid w:val="00807C1B"/>
    <w:rsid w:val="00842303"/>
    <w:rsid w:val="00856F05"/>
    <w:rsid w:val="008B4034"/>
    <w:rsid w:val="008E5A03"/>
    <w:rsid w:val="0090784F"/>
    <w:rsid w:val="009338EA"/>
    <w:rsid w:val="009A64BF"/>
    <w:rsid w:val="00B23507"/>
    <w:rsid w:val="00B61CD8"/>
    <w:rsid w:val="00B93B67"/>
    <w:rsid w:val="00BB556A"/>
    <w:rsid w:val="00C0582E"/>
    <w:rsid w:val="00D753A8"/>
    <w:rsid w:val="00D90D07"/>
    <w:rsid w:val="00E129B7"/>
    <w:rsid w:val="00E54CC6"/>
    <w:rsid w:val="00E77405"/>
    <w:rsid w:val="00EA31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AE379"/>
  <w15:chartTrackingRefBased/>
  <w15:docId w15:val="{378545B3-66F5-486D-8218-4E222DF9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C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C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C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C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C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C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C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C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C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CC6"/>
    <w:rPr>
      <w:rFonts w:eastAsiaTheme="majorEastAsia" w:cstheme="majorBidi"/>
      <w:color w:val="272727" w:themeColor="text1" w:themeTint="D8"/>
    </w:rPr>
  </w:style>
  <w:style w:type="paragraph" w:styleId="Title">
    <w:name w:val="Title"/>
    <w:basedOn w:val="Normal"/>
    <w:next w:val="Normal"/>
    <w:link w:val="TitleChar"/>
    <w:uiPriority w:val="10"/>
    <w:qFormat/>
    <w:rsid w:val="00E54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CC6"/>
    <w:pPr>
      <w:spacing w:before="160"/>
      <w:jc w:val="center"/>
    </w:pPr>
    <w:rPr>
      <w:i/>
      <w:iCs/>
      <w:color w:val="404040" w:themeColor="text1" w:themeTint="BF"/>
    </w:rPr>
  </w:style>
  <w:style w:type="character" w:customStyle="1" w:styleId="QuoteChar">
    <w:name w:val="Quote Char"/>
    <w:basedOn w:val="DefaultParagraphFont"/>
    <w:link w:val="Quote"/>
    <w:uiPriority w:val="29"/>
    <w:rsid w:val="00E54CC6"/>
    <w:rPr>
      <w:i/>
      <w:iCs/>
      <w:color w:val="404040" w:themeColor="text1" w:themeTint="BF"/>
    </w:rPr>
  </w:style>
  <w:style w:type="paragraph" w:styleId="ListParagraph">
    <w:name w:val="List Paragraph"/>
    <w:basedOn w:val="Normal"/>
    <w:uiPriority w:val="34"/>
    <w:qFormat/>
    <w:rsid w:val="00E54CC6"/>
    <w:pPr>
      <w:ind w:left="720"/>
      <w:contextualSpacing/>
    </w:pPr>
  </w:style>
  <w:style w:type="character" w:styleId="IntenseEmphasis">
    <w:name w:val="Intense Emphasis"/>
    <w:basedOn w:val="DefaultParagraphFont"/>
    <w:uiPriority w:val="21"/>
    <w:qFormat/>
    <w:rsid w:val="00E54CC6"/>
    <w:rPr>
      <w:i/>
      <w:iCs/>
      <w:color w:val="2F5496" w:themeColor="accent1" w:themeShade="BF"/>
    </w:rPr>
  </w:style>
  <w:style w:type="paragraph" w:styleId="IntenseQuote">
    <w:name w:val="Intense Quote"/>
    <w:basedOn w:val="Normal"/>
    <w:next w:val="Normal"/>
    <w:link w:val="IntenseQuoteChar"/>
    <w:uiPriority w:val="30"/>
    <w:qFormat/>
    <w:rsid w:val="00E54C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CC6"/>
    <w:rPr>
      <w:i/>
      <w:iCs/>
      <w:color w:val="2F5496" w:themeColor="accent1" w:themeShade="BF"/>
    </w:rPr>
  </w:style>
  <w:style w:type="character" w:styleId="IntenseReference">
    <w:name w:val="Intense Reference"/>
    <w:basedOn w:val="DefaultParagraphFont"/>
    <w:uiPriority w:val="32"/>
    <w:qFormat/>
    <w:rsid w:val="00E54CC6"/>
    <w:rPr>
      <w:b/>
      <w:bCs/>
      <w:smallCaps/>
      <w:color w:val="2F5496" w:themeColor="accent1" w:themeShade="BF"/>
      <w:spacing w:val="5"/>
    </w:rPr>
  </w:style>
  <w:style w:type="paragraph" w:styleId="NormalWeb">
    <w:name w:val="Normal (Web)"/>
    <w:basedOn w:val="Normal"/>
    <w:uiPriority w:val="99"/>
    <w:semiHidden/>
    <w:unhideWhenUsed/>
    <w:rsid w:val="00656E2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B6388"/>
    <w:rPr>
      <w:sz w:val="16"/>
      <w:szCs w:val="16"/>
    </w:rPr>
  </w:style>
  <w:style w:type="paragraph" w:styleId="CommentText">
    <w:name w:val="annotation text"/>
    <w:basedOn w:val="Normal"/>
    <w:link w:val="CommentTextChar"/>
    <w:uiPriority w:val="99"/>
    <w:unhideWhenUsed/>
    <w:rsid w:val="006B6388"/>
    <w:pPr>
      <w:spacing w:line="240" w:lineRule="auto"/>
    </w:pPr>
    <w:rPr>
      <w:sz w:val="20"/>
      <w:szCs w:val="20"/>
    </w:rPr>
  </w:style>
  <w:style w:type="character" w:customStyle="1" w:styleId="CommentTextChar">
    <w:name w:val="Comment Text Char"/>
    <w:basedOn w:val="DefaultParagraphFont"/>
    <w:link w:val="CommentText"/>
    <w:uiPriority w:val="99"/>
    <w:rsid w:val="006B6388"/>
    <w:rPr>
      <w:sz w:val="20"/>
      <w:szCs w:val="20"/>
    </w:rPr>
  </w:style>
  <w:style w:type="paragraph" w:styleId="CommentSubject">
    <w:name w:val="annotation subject"/>
    <w:basedOn w:val="CommentText"/>
    <w:next w:val="CommentText"/>
    <w:link w:val="CommentSubjectChar"/>
    <w:uiPriority w:val="99"/>
    <w:semiHidden/>
    <w:unhideWhenUsed/>
    <w:rsid w:val="006B6388"/>
    <w:rPr>
      <w:b/>
      <w:bCs/>
    </w:rPr>
  </w:style>
  <w:style w:type="character" w:customStyle="1" w:styleId="CommentSubjectChar">
    <w:name w:val="Comment Subject Char"/>
    <w:basedOn w:val="CommentTextChar"/>
    <w:link w:val="CommentSubject"/>
    <w:uiPriority w:val="99"/>
    <w:semiHidden/>
    <w:rsid w:val="006B6388"/>
    <w:rPr>
      <w:b/>
      <w:bCs/>
      <w:sz w:val="20"/>
      <w:szCs w:val="20"/>
    </w:rPr>
  </w:style>
  <w:style w:type="paragraph" w:styleId="Header">
    <w:name w:val="header"/>
    <w:basedOn w:val="Normal"/>
    <w:link w:val="HeaderChar"/>
    <w:uiPriority w:val="99"/>
    <w:unhideWhenUsed/>
    <w:rsid w:val="00551E94"/>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551E94"/>
    <w:rPr>
      <w:sz w:val="24"/>
      <w:szCs w:val="24"/>
    </w:rPr>
  </w:style>
  <w:style w:type="character" w:styleId="Hyperlink">
    <w:name w:val="Hyperlink"/>
    <w:basedOn w:val="DefaultParagraphFont"/>
    <w:uiPriority w:val="99"/>
    <w:unhideWhenUsed/>
    <w:rsid w:val="001B158F"/>
    <w:rPr>
      <w:color w:val="0563C1" w:themeColor="hyperlink"/>
      <w:u w:val="single"/>
    </w:rPr>
  </w:style>
  <w:style w:type="character" w:styleId="UnresolvedMention">
    <w:name w:val="Unresolved Mention"/>
    <w:basedOn w:val="DefaultParagraphFont"/>
    <w:uiPriority w:val="99"/>
    <w:semiHidden/>
    <w:unhideWhenUsed/>
    <w:rsid w:val="001B158F"/>
    <w:rPr>
      <w:color w:val="605E5C"/>
      <w:shd w:val="clear" w:color="auto" w:fill="E1DFDD"/>
    </w:rPr>
  </w:style>
  <w:style w:type="paragraph" w:styleId="Footer">
    <w:name w:val="footer"/>
    <w:basedOn w:val="Normal"/>
    <w:link w:val="FooterChar"/>
    <w:uiPriority w:val="99"/>
    <w:unhideWhenUsed/>
    <w:rsid w:val="00616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ikmahmaulifiah@itp-takalar.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1861</Words>
  <Characters>11892</Characters>
  <Application>Microsoft Office Word</Application>
  <DocSecurity>0</DocSecurity>
  <Lines>198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hardianti wijaya</dc:creator>
  <cp:keywords/>
  <dc:description/>
  <cp:lastModifiedBy>fitri hardianti wijaya</cp:lastModifiedBy>
  <cp:revision>8</cp:revision>
  <dcterms:created xsi:type="dcterms:W3CDTF">2025-10-23T15:28:00Z</dcterms:created>
  <dcterms:modified xsi:type="dcterms:W3CDTF">2025-11-04T14:14:00Z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01545566-0e50-41b0-9e95-51b383e011c6</vt:lpwstr>
  </property>
</Properties>
</file>