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D33E" w14:textId="77777777" w:rsidR="001A15ED" w:rsidRDefault="001A15ED" w:rsidP="001A15ED">
      <w:pPr>
        <w:pStyle w:val="Header"/>
        <w:pBdr>
          <w:bottom w:val="single" w:sz="6" w:space="1" w:color="auto"/>
        </w:pBdr>
      </w:pPr>
      <w:r>
        <w:rPr>
          <w:noProof/>
        </w:rPr>
        <mc:AlternateContent>
          <mc:Choice Requires="wps">
            <w:drawing>
              <wp:anchor distT="0" distB="0" distL="114300" distR="114300" simplePos="0" relativeHeight="251660288" behindDoc="0" locked="0" layoutInCell="1" allowOverlap="1" wp14:anchorId="2C40645C" wp14:editId="3D56E6C7">
                <wp:simplePos x="0" y="0"/>
                <wp:positionH relativeFrom="column">
                  <wp:posOffset>3359179</wp:posOffset>
                </wp:positionH>
                <wp:positionV relativeFrom="paragraph">
                  <wp:posOffset>624042</wp:posOffset>
                </wp:positionV>
                <wp:extent cx="1605517" cy="393405"/>
                <wp:effectExtent l="0" t="0" r="13970" b="26035"/>
                <wp:wrapNone/>
                <wp:docPr id="21362600" name="Text Box 3"/>
                <wp:cNvGraphicFramePr/>
                <a:graphic xmlns:a="http://schemas.openxmlformats.org/drawingml/2006/main">
                  <a:graphicData uri="http://schemas.microsoft.com/office/word/2010/wordprocessingShape">
                    <wps:wsp>
                      <wps:cNvSpPr txBox="1"/>
                      <wps:spPr>
                        <a:xfrm>
                          <a:off x="0" y="0"/>
                          <a:ext cx="1605517" cy="393405"/>
                        </a:xfrm>
                        <a:prstGeom prst="rect">
                          <a:avLst/>
                        </a:prstGeom>
                        <a:solidFill>
                          <a:schemeClr val="bg1"/>
                        </a:solidFill>
                        <a:ln w="6350">
                          <a:solidFill>
                            <a:schemeClr val="bg1"/>
                          </a:solidFill>
                        </a:ln>
                      </wps:spPr>
                      <wps:txbx>
                        <w:txbxContent>
                          <w:p w14:paraId="033FBDE6" w14:textId="77777777" w:rsidR="001A15ED" w:rsidRDefault="001A15ED" w:rsidP="001A15ED">
                            <w:r>
                              <w:t>E-ISSN: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0645C" id="_x0000_t202" coordsize="21600,21600" o:spt="202" path="m,l,21600r21600,l21600,xe">
                <v:stroke joinstyle="miter"/>
                <v:path gradientshapeok="t" o:connecttype="rect"/>
              </v:shapetype>
              <v:shape id="Text Box 3" o:spid="_x0000_s1026" type="#_x0000_t202" style="position:absolute;margin-left:264.5pt;margin-top:49.15pt;width:126.4pt;height:3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" fillcolor="white [3212]" strokecolor="white [3212]" strokeweight=".5pt">
                <v:textbox>
                  <w:txbxContent>
                    <w:p w14:paraId="033FBDE6" w14:textId="77777777" w:rsidR="001A15ED" w:rsidRDefault="001A15ED" w:rsidP="001A15ED">
                      <w:r>
                        <w:t>E-ISSN:  XXX-XXX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E03377" wp14:editId="39232789">
                <wp:simplePos x="0" y="0"/>
                <wp:positionH relativeFrom="column">
                  <wp:posOffset>3359387</wp:posOffset>
                </wp:positionH>
                <wp:positionV relativeFrom="paragraph">
                  <wp:posOffset>1006549</wp:posOffset>
                </wp:positionV>
                <wp:extent cx="2041451" cy="542260"/>
                <wp:effectExtent l="0" t="0" r="16510" b="10795"/>
                <wp:wrapNone/>
                <wp:docPr id="346934322" name="Text Box 2"/>
                <wp:cNvGraphicFramePr/>
                <a:graphic xmlns:a="http://schemas.openxmlformats.org/drawingml/2006/main">
                  <a:graphicData uri="http://schemas.microsoft.com/office/word/2010/wordprocessingShape">
                    <wps:wsp>
                      <wps:cNvSpPr txBox="1"/>
                      <wps:spPr>
                        <a:xfrm>
                          <a:off x="0" y="0"/>
                          <a:ext cx="2041451" cy="542260"/>
                        </a:xfrm>
                        <a:prstGeom prst="rect">
                          <a:avLst/>
                        </a:prstGeom>
                        <a:solidFill>
                          <a:schemeClr val="bg1"/>
                        </a:solidFill>
                        <a:ln w="6350">
                          <a:solidFill>
                            <a:schemeClr val="bg1"/>
                          </a:solidFill>
                        </a:ln>
                      </wps:spPr>
                      <wps:txbx>
                        <w:txbxContent>
                          <w:p w14:paraId="1C8B4D09" w14:textId="77777777" w:rsidR="001A15ED" w:rsidRPr="00B51398" w:rsidRDefault="001A15ED" w:rsidP="001A15ED">
                            <w:pPr>
                              <w:rPr>
                                <w:b/>
                                <w:bCs/>
                                <w:color w:val="4472C4" w:themeColor="accent1"/>
                              </w:rPr>
                            </w:pPr>
                            <w:r>
                              <w:rPr>
                                <w:b/>
                                <w:bCs/>
                                <w:color w:val="4472C4" w:themeColor="accent1"/>
                              </w:rPr>
                              <w:t xml:space="preserve"> </w:t>
                            </w:r>
                            <w:proofErr w:type="gramStart"/>
                            <w:r w:rsidRPr="00B51398">
                              <w:rPr>
                                <w:b/>
                                <w:bCs/>
                                <w:color w:val="4472C4" w:themeColor="accent1"/>
                              </w:rPr>
                              <w:t>JSPB :</w:t>
                            </w:r>
                            <w:proofErr w:type="gramEnd"/>
                            <w:r w:rsidRPr="00B51398">
                              <w:rPr>
                                <w:b/>
                                <w:bCs/>
                                <w:color w:val="4472C4" w:themeColor="accent1"/>
                              </w:rPr>
                              <w:t xml:space="preserve"> Jurnal Studi Perikanan Berkelanjutan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03377" id="Text Box 2" o:spid="_x0000_s1027" type="#_x0000_t202" style="position:absolute;margin-left:264.5pt;margin-top:79.25pt;width:160.75pt;height:4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" fillcolor="white [3212]" strokecolor="white [3212]" strokeweight=".5pt">
                <v:textbox>
                  <w:txbxContent>
                    <w:p w14:paraId="1C8B4D09" w14:textId="77777777" w:rsidR="001A15ED" w:rsidRPr="00B51398" w:rsidRDefault="001A15ED" w:rsidP="001A15ED">
                      <w:pPr>
                        <w:rPr>
                          <w:b/>
                          <w:bCs/>
                          <w:color w:val="4472C4" w:themeColor="accent1"/>
                        </w:rPr>
                      </w:pPr>
                      <w:r>
                        <w:rPr>
                          <w:b/>
                          <w:bCs/>
                          <w:color w:val="4472C4" w:themeColor="accent1"/>
                        </w:rPr>
                        <w:t xml:space="preserve"> </w:t>
                      </w:r>
                      <w:proofErr w:type="gramStart"/>
                      <w:r w:rsidRPr="00B51398">
                        <w:rPr>
                          <w:b/>
                          <w:bCs/>
                          <w:color w:val="4472C4" w:themeColor="accent1"/>
                        </w:rPr>
                        <w:t>JSPB :</w:t>
                      </w:r>
                      <w:proofErr w:type="gramEnd"/>
                      <w:r w:rsidRPr="00B51398">
                        <w:rPr>
                          <w:b/>
                          <w:bCs/>
                          <w:color w:val="4472C4" w:themeColor="accent1"/>
                        </w:rPr>
                        <w:t xml:space="preserve"> Jurnal Studi Perikanan Berkelanjutan</w:t>
                      </w:r>
                    </w:p>
                  </w:txbxContent>
                </v:textbox>
              </v:shape>
            </w:pict>
          </mc:Fallback>
        </mc:AlternateContent>
      </w:r>
      <w:r>
        <w:rPr>
          <w:noProof/>
        </w:rPr>
        <w:drawing>
          <wp:inline distT="0" distB="0" distL="0" distR="0" wp14:anchorId="14B07B4E" wp14:editId="64923967">
            <wp:extent cx="3221665" cy="1700945"/>
            <wp:effectExtent l="0" t="0" r="0" b="0"/>
            <wp:docPr id="453071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42810" name="Picture 1597442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9324" cy="1720828"/>
                    </a:xfrm>
                    <a:prstGeom prst="rect">
                      <a:avLst/>
                    </a:prstGeom>
                    <a:ln>
                      <a:noFill/>
                    </a:ln>
                    <a:effectLst>
                      <a:softEdge rad="112500"/>
                    </a:effectLst>
                  </pic:spPr>
                </pic:pic>
              </a:graphicData>
            </a:graphic>
          </wp:inline>
        </w:drawing>
      </w:r>
    </w:p>
    <w:p w14:paraId="7A38CF41" w14:textId="77777777" w:rsidR="001A15ED" w:rsidRDefault="001A15ED" w:rsidP="001A15ED">
      <w:pPr>
        <w:pStyle w:val="Header"/>
        <w:pBdr>
          <w:bottom w:val="single" w:sz="12" w:space="1" w:color="auto"/>
        </w:pBdr>
      </w:pPr>
    </w:p>
    <w:p w14:paraId="7073F9BB" w14:textId="77777777" w:rsidR="001A15ED" w:rsidRDefault="001A15ED" w:rsidP="001A15ED">
      <w:pPr>
        <w:pStyle w:val="Header"/>
      </w:pPr>
    </w:p>
    <w:p w14:paraId="32BD41A6" w14:textId="3BFBD66E" w:rsidR="00495583" w:rsidRPr="00856B61" w:rsidRDefault="00DD5669" w:rsidP="001E29CA">
      <w:pPr>
        <w:jc w:val="center"/>
        <w:rPr>
          <w:rFonts w:ascii="Book Antiqua" w:hAnsi="Book Antiqua" w:cs="Times New Roman"/>
          <w:b/>
          <w:bCs/>
          <w:sz w:val="28"/>
          <w:szCs w:val="28"/>
        </w:rPr>
      </w:pPr>
      <w:r w:rsidRPr="00856B61">
        <w:rPr>
          <w:rFonts w:ascii="Book Antiqua" w:hAnsi="Book Antiqua" w:cs="Times New Roman"/>
          <w:b/>
          <w:bCs/>
          <w:sz w:val="28"/>
          <w:szCs w:val="28"/>
        </w:rPr>
        <w:t>Local Wisdom as an Effort for Sustainable Fisheries Resource Management: A Case Study in Lake Tempe, Wajo Regency, South Sulawesi</w:t>
      </w:r>
    </w:p>
    <w:p w14:paraId="25A20FE2" w14:textId="222C6559" w:rsidR="00B93D47" w:rsidRPr="00856B61" w:rsidRDefault="006F034A" w:rsidP="001E29CA">
      <w:pPr>
        <w:jc w:val="center"/>
        <w:rPr>
          <w:rFonts w:ascii="Book Antiqua" w:hAnsi="Book Antiqua" w:cs="Times New Roman"/>
          <w:b/>
          <w:bCs/>
          <w:sz w:val="20"/>
          <w:szCs w:val="20"/>
        </w:rPr>
      </w:pPr>
      <w:r w:rsidRPr="00856B61">
        <w:rPr>
          <w:rFonts w:ascii="Book Antiqua" w:hAnsi="Book Antiqua" w:cs="Times New Roman"/>
          <w:b/>
          <w:bCs/>
          <w:sz w:val="20"/>
          <w:szCs w:val="20"/>
        </w:rPr>
        <w:t>Neneng Rahayu Ningsih</w:t>
      </w:r>
      <w:r w:rsidR="001E29CA" w:rsidRPr="00856B61">
        <w:rPr>
          <w:rFonts w:ascii="Book Antiqua" w:hAnsi="Book Antiqua" w:cs="Times New Roman"/>
          <w:b/>
          <w:bCs/>
          <w:sz w:val="20"/>
          <w:szCs w:val="20"/>
          <w:vertAlign w:val="superscript"/>
        </w:rPr>
        <w:t>1*</w:t>
      </w:r>
      <w:r w:rsidRPr="00856B61">
        <w:rPr>
          <w:rFonts w:ascii="Book Antiqua" w:hAnsi="Book Antiqua" w:cs="Times New Roman"/>
          <w:b/>
          <w:bCs/>
          <w:sz w:val="20"/>
          <w:szCs w:val="20"/>
        </w:rPr>
        <w:t xml:space="preserve">, </w:t>
      </w:r>
      <w:r w:rsidR="00337F02" w:rsidRPr="00856B61">
        <w:rPr>
          <w:rFonts w:ascii="Book Antiqua" w:hAnsi="Book Antiqua" w:cs="Times New Roman"/>
          <w:b/>
          <w:bCs/>
          <w:sz w:val="20"/>
          <w:szCs w:val="20"/>
        </w:rPr>
        <w:t>Fitri Hardianti Wijaya</w:t>
      </w:r>
      <w:r w:rsidR="001E29CA" w:rsidRPr="00856B61">
        <w:rPr>
          <w:rFonts w:ascii="Book Antiqua" w:hAnsi="Book Antiqua" w:cs="Times New Roman"/>
          <w:b/>
          <w:bCs/>
          <w:sz w:val="20"/>
          <w:szCs w:val="20"/>
          <w:vertAlign w:val="superscript"/>
        </w:rPr>
        <w:t>2</w:t>
      </w:r>
      <w:r w:rsidR="00337F02" w:rsidRPr="00856B61">
        <w:rPr>
          <w:rFonts w:ascii="Book Antiqua" w:hAnsi="Book Antiqua"/>
          <w:b/>
          <w:bCs/>
          <w:sz w:val="20"/>
          <w:szCs w:val="20"/>
        </w:rPr>
        <w:t>,</w:t>
      </w:r>
      <w:r w:rsidR="003E6611" w:rsidRPr="00856B61">
        <w:rPr>
          <w:rFonts w:ascii="Book Antiqua" w:hAnsi="Book Antiqua"/>
          <w:b/>
          <w:bCs/>
          <w:sz w:val="20"/>
          <w:szCs w:val="20"/>
        </w:rPr>
        <w:t xml:space="preserve"> Mirdah Aprilia Amir</w:t>
      </w:r>
      <w:r w:rsidR="001E29CA" w:rsidRPr="00856B61">
        <w:rPr>
          <w:rFonts w:ascii="Book Antiqua" w:hAnsi="Book Antiqua"/>
          <w:b/>
          <w:bCs/>
          <w:sz w:val="20"/>
          <w:szCs w:val="20"/>
          <w:vertAlign w:val="superscript"/>
        </w:rPr>
        <w:t>3</w:t>
      </w:r>
      <w:r w:rsidR="003E6611" w:rsidRPr="00856B61">
        <w:rPr>
          <w:rFonts w:ascii="Book Antiqua" w:hAnsi="Book Antiqua"/>
          <w:b/>
          <w:bCs/>
          <w:sz w:val="20"/>
          <w:szCs w:val="20"/>
        </w:rPr>
        <w:t>, Yusran</w:t>
      </w:r>
      <w:r w:rsidR="001E29CA" w:rsidRPr="00856B61">
        <w:rPr>
          <w:rFonts w:ascii="Book Antiqua" w:hAnsi="Book Antiqua"/>
          <w:b/>
          <w:bCs/>
          <w:sz w:val="20"/>
          <w:szCs w:val="20"/>
          <w:vertAlign w:val="superscript"/>
        </w:rPr>
        <w:t>3</w:t>
      </w:r>
      <w:r w:rsidR="003E6611" w:rsidRPr="00856B61">
        <w:rPr>
          <w:rFonts w:ascii="Book Antiqua" w:hAnsi="Book Antiqua"/>
          <w:b/>
          <w:bCs/>
          <w:sz w:val="20"/>
          <w:szCs w:val="20"/>
        </w:rPr>
        <w:t>,</w:t>
      </w:r>
      <w:r w:rsidR="00337F02" w:rsidRPr="00856B61">
        <w:rPr>
          <w:rFonts w:ascii="Book Antiqua" w:hAnsi="Book Antiqua"/>
          <w:b/>
          <w:bCs/>
          <w:sz w:val="20"/>
          <w:szCs w:val="20"/>
        </w:rPr>
        <w:t xml:space="preserve"> Riswan Dugo</w:t>
      </w:r>
      <w:r w:rsidR="001E29CA" w:rsidRPr="00856B61">
        <w:rPr>
          <w:rFonts w:ascii="Book Antiqua" w:hAnsi="Book Antiqua"/>
          <w:b/>
          <w:bCs/>
          <w:sz w:val="20"/>
          <w:szCs w:val="20"/>
          <w:vertAlign w:val="superscript"/>
        </w:rPr>
        <w:t>4</w:t>
      </w:r>
      <w:r w:rsidR="003E6611" w:rsidRPr="00856B61">
        <w:rPr>
          <w:rFonts w:ascii="Book Antiqua" w:hAnsi="Book Antiqua"/>
          <w:b/>
          <w:bCs/>
          <w:sz w:val="20"/>
          <w:szCs w:val="20"/>
        </w:rPr>
        <w:t>.</w:t>
      </w:r>
    </w:p>
    <w:p w14:paraId="347E5D2E" w14:textId="1C032725" w:rsidR="006F034A" w:rsidRPr="00856B61" w:rsidRDefault="00B610C3" w:rsidP="001E29CA">
      <w:pPr>
        <w:spacing w:after="0"/>
        <w:rPr>
          <w:rFonts w:ascii="Times New Roman" w:hAnsi="Times New Roman" w:cs="Times New Roman"/>
          <w:i/>
          <w:iCs/>
          <w:sz w:val="18"/>
          <w:szCs w:val="18"/>
        </w:rPr>
      </w:pPr>
      <w:r w:rsidRPr="00856B61">
        <w:rPr>
          <w:rFonts w:ascii="Times New Roman" w:hAnsi="Times New Roman" w:cs="Times New Roman"/>
          <w:i/>
          <w:iCs/>
          <w:sz w:val="18"/>
          <w:szCs w:val="18"/>
        </w:rPr>
        <w:t xml:space="preserve">1. </w:t>
      </w:r>
      <w:r w:rsidR="006F034A" w:rsidRPr="00856B61">
        <w:rPr>
          <w:rFonts w:ascii="Times New Roman" w:hAnsi="Times New Roman" w:cs="Times New Roman"/>
          <w:i/>
          <w:iCs/>
          <w:sz w:val="18"/>
          <w:szCs w:val="18"/>
        </w:rPr>
        <w:t>Water Resources Management Study Program, Faculty of Agriculture, Animal Husbandry and Fisheries, Puangrimaggalatung University, Wajo, Indonesia</w:t>
      </w:r>
      <w:r w:rsidR="001E29CA" w:rsidRPr="00856B61">
        <w:rPr>
          <w:rFonts w:ascii="Times New Roman" w:hAnsi="Times New Roman" w:cs="Times New Roman"/>
          <w:i/>
          <w:iCs/>
          <w:sz w:val="18"/>
          <w:szCs w:val="18"/>
        </w:rPr>
        <w:t>.</w:t>
      </w:r>
    </w:p>
    <w:p w14:paraId="009D9FF9" w14:textId="53FF45CC" w:rsidR="00962B16" w:rsidRPr="00856B61" w:rsidRDefault="00B610C3" w:rsidP="001E29CA">
      <w:pPr>
        <w:spacing w:after="0"/>
        <w:rPr>
          <w:rFonts w:ascii="Times New Roman" w:hAnsi="Times New Roman" w:cs="Times New Roman"/>
          <w:i/>
          <w:sz w:val="18"/>
          <w:szCs w:val="18"/>
        </w:rPr>
      </w:pPr>
      <w:r w:rsidRPr="00856B61">
        <w:rPr>
          <w:rFonts w:ascii="Times New Roman" w:hAnsi="Times New Roman" w:cs="Times New Roman"/>
          <w:i/>
          <w:sz w:val="18"/>
          <w:szCs w:val="18"/>
        </w:rPr>
        <w:t xml:space="preserve">2. </w:t>
      </w:r>
      <w:r w:rsidR="00962B16" w:rsidRPr="00856B61">
        <w:rPr>
          <w:rFonts w:ascii="Times New Roman" w:hAnsi="Times New Roman" w:cs="Times New Roman"/>
          <w:i/>
          <w:sz w:val="18"/>
          <w:szCs w:val="18"/>
        </w:rPr>
        <w:t xml:space="preserve">Fisheries </w:t>
      </w:r>
      <w:r w:rsidR="001E29CA" w:rsidRPr="00856B61">
        <w:rPr>
          <w:rFonts w:ascii="Times New Roman" w:hAnsi="Times New Roman" w:cs="Times New Roman"/>
          <w:i/>
          <w:sz w:val="18"/>
          <w:szCs w:val="18"/>
        </w:rPr>
        <w:t>Science Study Program</w:t>
      </w:r>
      <w:r w:rsidR="00962B16" w:rsidRPr="00856B61">
        <w:rPr>
          <w:rFonts w:ascii="Times New Roman" w:hAnsi="Times New Roman" w:cs="Times New Roman"/>
          <w:i/>
          <w:sz w:val="18"/>
          <w:szCs w:val="18"/>
        </w:rPr>
        <w:t>, Faculty of Science and Technology, University of Cahaya Prima, Bone, Indonesia</w:t>
      </w:r>
      <w:r w:rsidR="001E29CA" w:rsidRPr="00856B61">
        <w:rPr>
          <w:rFonts w:ascii="Times New Roman" w:hAnsi="Times New Roman" w:cs="Times New Roman"/>
          <w:i/>
          <w:sz w:val="18"/>
          <w:szCs w:val="18"/>
        </w:rPr>
        <w:t>.</w:t>
      </w:r>
    </w:p>
    <w:p w14:paraId="02ACE6E8" w14:textId="5D8E01CA" w:rsidR="001E29CA" w:rsidRPr="00856B61" w:rsidRDefault="00B610C3" w:rsidP="001E29CA">
      <w:pPr>
        <w:spacing w:after="0"/>
        <w:rPr>
          <w:rFonts w:ascii="Times New Roman" w:hAnsi="Times New Roman" w:cs="Times New Roman"/>
          <w:i/>
          <w:sz w:val="18"/>
          <w:szCs w:val="18"/>
        </w:rPr>
      </w:pPr>
      <w:r w:rsidRPr="00856B61">
        <w:rPr>
          <w:rFonts w:ascii="Times New Roman" w:hAnsi="Times New Roman" w:cs="Times New Roman"/>
          <w:i/>
          <w:sz w:val="18"/>
          <w:szCs w:val="18"/>
        </w:rPr>
        <w:t xml:space="preserve">3. </w:t>
      </w:r>
      <w:r w:rsidR="001E29CA" w:rsidRPr="00856B61">
        <w:rPr>
          <w:rFonts w:ascii="Times New Roman" w:hAnsi="Times New Roman" w:cs="Times New Roman"/>
          <w:i/>
          <w:sz w:val="18"/>
          <w:szCs w:val="18"/>
        </w:rPr>
        <w:t>Animal Feed Nutrition and Technology Study Program, Faculty of Agriculture, Animal Husbandry, and Fisheries, Puangrimaggalatung University, Wajo, Indonesia.</w:t>
      </w:r>
    </w:p>
    <w:p w14:paraId="62B2A91C" w14:textId="0D7D2B18" w:rsidR="00962B16" w:rsidRPr="00856B61" w:rsidRDefault="00B610C3" w:rsidP="001E29CA">
      <w:pPr>
        <w:spacing w:after="0"/>
        <w:rPr>
          <w:rFonts w:ascii="Times New Roman" w:hAnsi="Times New Roman" w:cs="Times New Roman"/>
          <w:i/>
          <w:sz w:val="18"/>
          <w:szCs w:val="18"/>
        </w:rPr>
      </w:pPr>
      <w:r w:rsidRPr="00856B61">
        <w:rPr>
          <w:rFonts w:ascii="Times New Roman" w:hAnsi="Times New Roman" w:cs="Times New Roman"/>
          <w:i/>
          <w:sz w:val="18"/>
          <w:szCs w:val="18"/>
        </w:rPr>
        <w:t xml:space="preserve">4. </w:t>
      </w:r>
      <w:r w:rsidR="00962B16" w:rsidRPr="00856B61">
        <w:rPr>
          <w:rFonts w:ascii="Times New Roman" w:hAnsi="Times New Roman" w:cs="Times New Roman"/>
          <w:i/>
          <w:sz w:val="18"/>
          <w:szCs w:val="18"/>
        </w:rPr>
        <w:t>Student of Fisheries Science Study Program, Faculty of Science and Technology, Cahaya Prima University, Bone, Indonesia</w:t>
      </w:r>
      <w:r w:rsidR="001E29CA" w:rsidRPr="00856B61">
        <w:rPr>
          <w:rFonts w:ascii="Times New Roman" w:hAnsi="Times New Roman" w:cs="Times New Roman"/>
          <w:i/>
          <w:sz w:val="18"/>
          <w:szCs w:val="18"/>
        </w:rPr>
        <w:t>.</w:t>
      </w:r>
    </w:p>
    <w:p w14:paraId="32994F1F" w14:textId="2C3B388F" w:rsidR="001E29CA" w:rsidRDefault="001E29CA" w:rsidP="001E29CA">
      <w:pPr>
        <w:spacing w:after="0"/>
        <w:jc w:val="center"/>
        <w:rPr>
          <w:rFonts w:ascii="Times New Roman" w:hAnsi="Times New Roman" w:cs="Times New Roman"/>
          <w:b/>
          <w:bCs/>
          <w:iCs/>
          <w:sz w:val="18"/>
          <w:szCs w:val="18"/>
        </w:rPr>
      </w:pPr>
      <w:r w:rsidRPr="00856B61">
        <w:rPr>
          <w:rFonts w:ascii="Times New Roman" w:hAnsi="Times New Roman" w:cs="Times New Roman"/>
          <w:b/>
          <w:bCs/>
          <w:i/>
          <w:sz w:val="18"/>
          <w:szCs w:val="18"/>
        </w:rPr>
        <w:t>Corresponding Author:</w:t>
      </w:r>
      <w:r w:rsidR="00D956AB" w:rsidRPr="00856B61">
        <w:rPr>
          <w:b/>
          <w:bCs/>
          <w:sz w:val="18"/>
          <w:szCs w:val="18"/>
        </w:rPr>
        <w:t xml:space="preserve"> </w:t>
      </w:r>
      <w:hyperlink r:id="rId8" w:history="1">
        <w:r w:rsidR="000A0222" w:rsidRPr="009444B7">
          <w:rPr>
            <w:rStyle w:val="Hyperlink"/>
            <w:rFonts w:ascii="Times New Roman" w:hAnsi="Times New Roman" w:cs="Times New Roman"/>
            <w:b/>
            <w:bCs/>
            <w:iCs/>
            <w:sz w:val="18"/>
            <w:szCs w:val="18"/>
          </w:rPr>
          <w:t>nenengrahayuningsih17@gmail.com</w:t>
        </w:r>
      </w:hyperlink>
    </w:p>
    <w:p w14:paraId="19D29700" w14:textId="324BB63E" w:rsidR="000A0222" w:rsidRDefault="000A0222" w:rsidP="000A0222">
      <w:pPr>
        <w:spacing w:after="0"/>
        <w:jc w:val="center"/>
        <w:rPr>
          <w:rFonts w:ascii="Book Antiqua" w:hAnsi="Book Antiqua" w:cs="Times New Roman"/>
          <w:b/>
          <w:bCs/>
          <w:iCs/>
          <w:sz w:val="16"/>
          <w:szCs w:val="16"/>
        </w:rPr>
      </w:pPr>
      <w:r w:rsidRPr="0032312F">
        <w:rPr>
          <w:rFonts w:ascii="Book Antiqua" w:hAnsi="Book Antiqua" w:cs="Times New Roman"/>
          <w:b/>
          <w:bCs/>
          <w:iCs/>
          <w:sz w:val="16"/>
          <w:szCs w:val="16"/>
        </w:rPr>
        <w:t xml:space="preserve">Received: </w:t>
      </w:r>
      <w:r>
        <w:rPr>
          <w:rFonts w:ascii="Book Antiqua" w:hAnsi="Book Antiqua" w:cs="Times New Roman"/>
          <w:b/>
          <w:bCs/>
          <w:iCs/>
          <w:sz w:val="16"/>
          <w:szCs w:val="16"/>
        </w:rPr>
        <w:t>5</w:t>
      </w:r>
      <w:r w:rsidRPr="0032312F">
        <w:rPr>
          <w:rFonts w:ascii="Book Antiqua" w:hAnsi="Book Antiqua" w:cs="Times New Roman"/>
          <w:b/>
          <w:bCs/>
          <w:iCs/>
          <w:sz w:val="16"/>
          <w:szCs w:val="16"/>
        </w:rPr>
        <w:t xml:space="preserve">-10-2025      Accepted: </w:t>
      </w:r>
      <w:r>
        <w:rPr>
          <w:rFonts w:ascii="Book Antiqua" w:hAnsi="Book Antiqua" w:cs="Times New Roman"/>
          <w:b/>
          <w:bCs/>
          <w:iCs/>
          <w:sz w:val="16"/>
          <w:szCs w:val="16"/>
        </w:rPr>
        <w:t>28</w:t>
      </w:r>
      <w:r w:rsidRPr="0032312F">
        <w:rPr>
          <w:rFonts w:ascii="Book Antiqua" w:hAnsi="Book Antiqua" w:cs="Times New Roman"/>
          <w:b/>
          <w:bCs/>
          <w:iCs/>
          <w:sz w:val="16"/>
          <w:szCs w:val="16"/>
        </w:rPr>
        <w:t>-1</w:t>
      </w:r>
      <w:r>
        <w:rPr>
          <w:rFonts w:ascii="Book Antiqua" w:hAnsi="Book Antiqua" w:cs="Times New Roman"/>
          <w:b/>
          <w:bCs/>
          <w:iCs/>
          <w:sz w:val="16"/>
          <w:szCs w:val="16"/>
        </w:rPr>
        <w:t>1</w:t>
      </w:r>
      <w:r w:rsidRPr="0032312F">
        <w:rPr>
          <w:rFonts w:ascii="Book Antiqua" w:hAnsi="Book Antiqua" w:cs="Times New Roman"/>
          <w:b/>
          <w:bCs/>
          <w:iCs/>
          <w:sz w:val="16"/>
          <w:szCs w:val="16"/>
        </w:rPr>
        <w:t>-2025</w:t>
      </w:r>
    </w:p>
    <w:p w14:paraId="568EF04E" w14:textId="77777777" w:rsidR="000A0222" w:rsidRPr="00856B61" w:rsidRDefault="000A0222" w:rsidP="001E29CA">
      <w:pPr>
        <w:spacing w:after="0"/>
        <w:jc w:val="center"/>
        <w:rPr>
          <w:rFonts w:ascii="Times New Roman" w:hAnsi="Times New Roman" w:cs="Times New Roman"/>
          <w:b/>
          <w:bCs/>
          <w:i/>
          <w:sz w:val="18"/>
          <w:szCs w:val="18"/>
        </w:rPr>
      </w:pPr>
    </w:p>
    <w:p w14:paraId="1FA39477" w14:textId="58EF7D16" w:rsidR="00495583" w:rsidRPr="00610B84" w:rsidRDefault="00495583" w:rsidP="00495583">
      <w:pPr>
        <w:rPr>
          <w:rFonts w:ascii="Book Antiqua" w:hAnsi="Book Antiqua" w:cs="Times New Roman"/>
          <w:b/>
          <w:bCs/>
          <w:sz w:val="24"/>
          <w:szCs w:val="24"/>
        </w:rPr>
      </w:pPr>
      <w:r w:rsidRPr="00610B84">
        <w:rPr>
          <w:rFonts w:ascii="Book Antiqua" w:hAnsi="Book Antiqua" w:cs="Times New Roman"/>
          <w:b/>
          <w:bCs/>
          <w:sz w:val="24"/>
          <w:szCs w:val="24"/>
        </w:rPr>
        <w:t>Abstrak</w:t>
      </w:r>
    </w:p>
    <w:p w14:paraId="597474DB"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Local wisdom represents a system of knowledge, norms, and practices derived from the interaction between communities and their environment, including the utilization of fishery resources. This study aims to explore various forms of local wisdom among the fishing communities of Lake Tempe, Wajo Regency, and their role in supporting sustainable fisheries management. The research employed a descriptive qualitative approach, using data collection techniques such as in-depth interviews, participatory observation, and literature review. Thematic analysis was conducted by categorizing findings based on customary rules, fishing practices, sanction mechanisms, and social values that uphold ecosystem sustainability. The results reveal that the Lake Tempe community maintains traditional regulations such as prohibiting fishing during spawning seasons, using environmentally friendly fishing gear, and allocating fishing zones based on customary knowledge. Furthermore, social sanctions serve as a mechanism for ensuring community compliance with collective norms. These findings confirm that local wisdom not only sustains ecosystem balance and fish stocks but also strengthens social cohesion among fishers. The discussion emphasizes the need to integrate local wisdom into formal policy through a co-management model involving local governments, fishing communities, and other stakeholders. In conclusion, local wisdom holds significant potential as a key pillar for sustainable fisheries resource management in Lake Tempe.</w:t>
      </w:r>
    </w:p>
    <w:p w14:paraId="63B3E9C5" w14:textId="77777777" w:rsidR="00DD5669" w:rsidRPr="00610B84" w:rsidRDefault="00DD5669" w:rsidP="00DD5669">
      <w:pPr>
        <w:jc w:val="both"/>
        <w:rPr>
          <w:rFonts w:ascii="Book Antiqua" w:hAnsi="Book Antiqua" w:cs="Times New Roman"/>
        </w:rPr>
      </w:pPr>
      <w:r w:rsidRPr="00610B84">
        <w:rPr>
          <w:rFonts w:ascii="Book Antiqua" w:hAnsi="Book Antiqua" w:cs="Times New Roman"/>
          <w:b/>
          <w:bCs/>
        </w:rPr>
        <w:t>Keywords</w:t>
      </w:r>
      <w:r w:rsidRPr="00610B84">
        <w:rPr>
          <w:rFonts w:ascii="Book Antiqua" w:hAnsi="Book Antiqua" w:cs="Times New Roman"/>
        </w:rPr>
        <w:t>: local wisdom, fisheries management, sustainability, Lake Tempe, Wajo</w:t>
      </w:r>
    </w:p>
    <w:p w14:paraId="64B21CBA" w14:textId="77777777" w:rsidR="001A15ED" w:rsidRDefault="001A15ED" w:rsidP="001A15ED">
      <w:pPr>
        <w:pStyle w:val="ListParagraph"/>
        <w:ind w:left="426"/>
        <w:rPr>
          <w:rFonts w:ascii="Book Antiqua" w:hAnsi="Book Antiqua" w:cs="Times New Roman"/>
          <w:b/>
          <w:bCs/>
          <w:sz w:val="24"/>
          <w:szCs w:val="24"/>
        </w:rPr>
      </w:pPr>
    </w:p>
    <w:p w14:paraId="798B002A" w14:textId="77777777" w:rsidR="001A15ED" w:rsidRDefault="001A15ED" w:rsidP="001A15ED">
      <w:pPr>
        <w:pStyle w:val="ListParagraph"/>
        <w:ind w:left="426"/>
        <w:rPr>
          <w:rFonts w:ascii="Book Antiqua" w:hAnsi="Book Antiqua" w:cs="Times New Roman"/>
          <w:b/>
          <w:bCs/>
          <w:sz w:val="24"/>
          <w:szCs w:val="24"/>
        </w:rPr>
      </w:pPr>
    </w:p>
    <w:p w14:paraId="77419CF1" w14:textId="0F199D3E" w:rsidR="00495583" w:rsidRDefault="00DD5669" w:rsidP="00495583">
      <w:pPr>
        <w:pStyle w:val="ListParagraph"/>
        <w:numPr>
          <w:ilvl w:val="0"/>
          <w:numId w:val="1"/>
        </w:numPr>
        <w:ind w:left="426" w:hanging="426"/>
        <w:rPr>
          <w:rFonts w:ascii="Book Antiqua" w:hAnsi="Book Antiqua" w:cs="Times New Roman"/>
          <w:b/>
          <w:bCs/>
          <w:sz w:val="24"/>
          <w:szCs w:val="24"/>
        </w:rPr>
      </w:pPr>
      <w:r w:rsidRPr="00610B84">
        <w:rPr>
          <w:rFonts w:ascii="Book Antiqua" w:hAnsi="Book Antiqua" w:cs="Times New Roman"/>
          <w:b/>
          <w:bCs/>
          <w:sz w:val="24"/>
          <w:szCs w:val="24"/>
        </w:rPr>
        <w:t>Introduction</w:t>
      </w:r>
    </w:p>
    <w:p w14:paraId="65028CE1" w14:textId="77777777" w:rsidR="00610B84" w:rsidRPr="00610B84" w:rsidRDefault="00610B84" w:rsidP="00610B84">
      <w:pPr>
        <w:pStyle w:val="NormalWeb"/>
        <w:jc w:val="both"/>
        <w:rPr>
          <w:rFonts w:ascii="Book Antiqua" w:hAnsi="Book Antiqua"/>
          <w:sz w:val="22"/>
          <w:szCs w:val="22"/>
        </w:rPr>
      </w:pPr>
      <w:r w:rsidRPr="00610B84">
        <w:rPr>
          <w:rStyle w:val="Strong"/>
          <w:rFonts w:ascii="Book Antiqua" w:eastAsiaTheme="majorEastAsia" w:hAnsi="Book Antiqua"/>
          <w:b w:val="0"/>
          <w:bCs w:val="0"/>
          <w:sz w:val="22"/>
          <w:szCs w:val="22"/>
        </w:rPr>
        <w:t>The fishing communities around Lake Tempe in Wajo Regency</w:t>
      </w:r>
      <w:r w:rsidRPr="00610B84">
        <w:rPr>
          <w:rFonts w:ascii="Book Antiqua" w:hAnsi="Book Antiqua"/>
          <w:sz w:val="22"/>
          <w:szCs w:val="22"/>
        </w:rPr>
        <w:t xml:space="preserve"> rely heavily on fisheries as their primary source of livelihood. Fishing activities have been carried out for generations, deeply influenced by local customs and traditional norms (Berkes, 2008). However, the modernization of fishing gear and the increasing number of fishers have begun to exert pressure on the lake ecosystem, leading to declining fish catches that threaten the economic sustainability of local fishers (Ostrom, 1990).</w:t>
      </w:r>
    </w:p>
    <w:p w14:paraId="3F4BC648" w14:textId="77777777" w:rsidR="00610B84" w:rsidRPr="00610B84" w:rsidRDefault="00610B84" w:rsidP="00610B84">
      <w:pPr>
        <w:pStyle w:val="NormalWeb"/>
        <w:jc w:val="both"/>
        <w:rPr>
          <w:rFonts w:ascii="Book Antiqua" w:hAnsi="Book Antiqua"/>
          <w:sz w:val="22"/>
          <w:szCs w:val="22"/>
        </w:rPr>
      </w:pPr>
      <w:r w:rsidRPr="00610B84">
        <w:rPr>
          <w:rFonts w:ascii="Book Antiqua" w:hAnsi="Book Antiqua"/>
          <w:sz w:val="22"/>
          <w:szCs w:val="22"/>
        </w:rPr>
        <w:t xml:space="preserve">In this context, </w:t>
      </w:r>
      <w:r w:rsidRPr="00610B84">
        <w:rPr>
          <w:rStyle w:val="Strong"/>
          <w:rFonts w:ascii="Book Antiqua" w:eastAsiaTheme="majorEastAsia" w:hAnsi="Book Antiqua"/>
          <w:b w:val="0"/>
          <w:bCs w:val="0"/>
          <w:sz w:val="22"/>
          <w:szCs w:val="22"/>
        </w:rPr>
        <w:t>local wisdom plays a vital role</w:t>
      </w:r>
      <w:r w:rsidRPr="00610B84">
        <w:rPr>
          <w:rFonts w:ascii="Book Antiqua" w:hAnsi="Book Antiqua"/>
          <w:sz w:val="22"/>
          <w:szCs w:val="22"/>
        </w:rPr>
        <w:t xml:space="preserve"> as a socio-ecological instrument to maintain the balance between the utilization and conservation of fishery resources (Pretty, 2011). Local wisdom encompasses customary rules on fishing seasons, allowable fish sizes, and prohibitions on certain fishing tools—representing a form of community-based resource management (Cinner &amp; Aswani, 2007).</w:t>
      </w:r>
    </w:p>
    <w:p w14:paraId="6924F10F" w14:textId="77777777" w:rsidR="00610B84" w:rsidRPr="00610B84" w:rsidRDefault="00610B84" w:rsidP="00610B84">
      <w:pPr>
        <w:pStyle w:val="NormalWeb"/>
        <w:jc w:val="both"/>
        <w:rPr>
          <w:rFonts w:ascii="Book Antiqua" w:hAnsi="Book Antiqua"/>
          <w:sz w:val="22"/>
          <w:szCs w:val="22"/>
        </w:rPr>
      </w:pPr>
      <w:r w:rsidRPr="00610B84">
        <w:rPr>
          <w:rFonts w:ascii="Book Antiqua" w:hAnsi="Book Antiqua"/>
          <w:sz w:val="22"/>
          <w:szCs w:val="22"/>
        </w:rPr>
        <w:t xml:space="preserve">In recent years, </w:t>
      </w:r>
      <w:r w:rsidRPr="00610B84">
        <w:rPr>
          <w:rStyle w:val="Strong"/>
          <w:rFonts w:ascii="Book Antiqua" w:eastAsiaTheme="majorEastAsia" w:hAnsi="Book Antiqua"/>
          <w:b w:val="0"/>
          <w:bCs w:val="0"/>
          <w:sz w:val="22"/>
          <w:szCs w:val="22"/>
        </w:rPr>
        <w:t>the effectiveness of local wisdom in fisheries management has gained recognition</w:t>
      </w:r>
      <w:r w:rsidRPr="00610B84">
        <w:rPr>
          <w:rFonts w:ascii="Book Antiqua" w:hAnsi="Book Antiqua"/>
          <w:sz w:val="22"/>
          <w:szCs w:val="22"/>
        </w:rPr>
        <w:t xml:space="preserve"> as an adaptive approach to environmental change. Communities around Lake Tempe, for instance, have practiced “massompe” (seasonal fishing restrictions) and “pajjalangi” (sacred zones or spawning areas) to allow fish populations to regenerate naturally. These practices not only preserve fish stocks but also strengthen social cohesion among fishers by emphasizing shared responsibility and mutual agreement. Such collective arrangements have proven to be more flexible and culturally acceptable than top-down regulatory systems, fostering a sense of ownership and stewardship over the lake’s resources (Béné et al., 2009).</w:t>
      </w:r>
    </w:p>
    <w:p w14:paraId="642A129D" w14:textId="77777777" w:rsidR="00610B84" w:rsidRPr="00610B84" w:rsidRDefault="00610B84" w:rsidP="00610B84">
      <w:pPr>
        <w:pStyle w:val="NormalWeb"/>
        <w:jc w:val="both"/>
        <w:rPr>
          <w:rFonts w:ascii="Book Antiqua" w:hAnsi="Book Antiqua"/>
          <w:sz w:val="22"/>
          <w:szCs w:val="22"/>
        </w:rPr>
      </w:pPr>
      <w:r w:rsidRPr="00610B84">
        <w:rPr>
          <w:rFonts w:ascii="Book Antiqua" w:hAnsi="Book Antiqua"/>
          <w:sz w:val="22"/>
          <w:szCs w:val="22"/>
        </w:rPr>
        <w:t xml:space="preserve">However, </w:t>
      </w:r>
      <w:r w:rsidRPr="00610B84">
        <w:rPr>
          <w:rStyle w:val="Strong"/>
          <w:rFonts w:ascii="Book Antiqua" w:eastAsiaTheme="majorEastAsia" w:hAnsi="Book Antiqua"/>
          <w:b w:val="0"/>
          <w:bCs w:val="0"/>
          <w:sz w:val="22"/>
          <w:szCs w:val="22"/>
        </w:rPr>
        <w:t>the preservation of these traditional management systems faces significant challenges</w:t>
      </w:r>
      <w:r w:rsidRPr="00610B84">
        <w:rPr>
          <w:rFonts w:ascii="Book Antiqua" w:hAnsi="Book Antiqua"/>
          <w:sz w:val="22"/>
          <w:szCs w:val="22"/>
        </w:rPr>
        <w:t>. Rapid socio-economic changes, population growth, and limited awareness among younger generations threaten the continuity of local wisdom practices. In addition, insufficient policy support and weak institutional collaboration often result in the marginalization of traditional ecological knowledge in formal fisheries governance. Strengthening partnerships between local communities, government agencies, and academic institutions is therefore crucial to ensure that local wisdom continues to serve as a foundation for sustainable fisheries management in Lake Tempe. Integrating traditional knowledge with modern scientific approaches can create more resilient and inclusive management frameworks (Folke et al., 2016).</w:t>
      </w:r>
    </w:p>
    <w:p w14:paraId="23276F50" w14:textId="3D18F25E" w:rsidR="00610B84" w:rsidRPr="00610B84" w:rsidRDefault="00610B84" w:rsidP="00610B84">
      <w:pPr>
        <w:pStyle w:val="NormalWeb"/>
        <w:jc w:val="both"/>
        <w:rPr>
          <w:rFonts w:ascii="Book Antiqua" w:hAnsi="Book Antiqua"/>
          <w:sz w:val="22"/>
          <w:szCs w:val="22"/>
        </w:rPr>
      </w:pPr>
      <w:r w:rsidRPr="00610B84">
        <w:rPr>
          <w:rFonts w:ascii="Book Antiqua" w:hAnsi="Book Antiqua"/>
          <w:sz w:val="22"/>
          <w:szCs w:val="22"/>
        </w:rPr>
        <w:t xml:space="preserve">Finally, </w:t>
      </w:r>
      <w:r w:rsidRPr="00610B84">
        <w:rPr>
          <w:rStyle w:val="Strong"/>
          <w:rFonts w:ascii="Book Antiqua" w:eastAsiaTheme="majorEastAsia" w:hAnsi="Book Antiqua"/>
          <w:b w:val="0"/>
          <w:bCs w:val="0"/>
          <w:sz w:val="22"/>
          <w:szCs w:val="22"/>
        </w:rPr>
        <w:t>studying the role of local wisdom in Lake Tempe</w:t>
      </w:r>
      <w:r w:rsidRPr="00610B84">
        <w:rPr>
          <w:rFonts w:ascii="Book Antiqua" w:hAnsi="Book Antiqua"/>
          <w:sz w:val="22"/>
          <w:szCs w:val="22"/>
        </w:rPr>
        <w:t xml:space="preserve"> is essential for formulating strategies that support sustainable fisheries management while integrating traditional systems into formal policies (FAO, 2018). Such integration not only promotes ecological sustainability but also preserves the cultural identity and social integrity of local fishing communities in South Sulawesi.</w:t>
      </w:r>
    </w:p>
    <w:p w14:paraId="4F8CE32E" w14:textId="77777777" w:rsidR="00DD5669" w:rsidRPr="00610B84" w:rsidRDefault="00DD5669" w:rsidP="00DD5669">
      <w:pPr>
        <w:jc w:val="both"/>
        <w:rPr>
          <w:rFonts w:ascii="Book Antiqua" w:hAnsi="Book Antiqua" w:cs="Times New Roman"/>
          <w:b/>
          <w:bCs/>
          <w:sz w:val="24"/>
          <w:szCs w:val="24"/>
        </w:rPr>
      </w:pPr>
      <w:r w:rsidRPr="00610B84">
        <w:rPr>
          <w:rFonts w:ascii="Book Antiqua" w:hAnsi="Book Antiqua" w:cs="Times New Roman"/>
          <w:b/>
          <w:bCs/>
          <w:sz w:val="24"/>
          <w:szCs w:val="24"/>
        </w:rPr>
        <w:t>2. Methods</w:t>
      </w:r>
    </w:p>
    <w:p w14:paraId="309B3632" w14:textId="354F56C2" w:rsidR="00D61870" w:rsidRPr="00D61870" w:rsidRDefault="00D61870" w:rsidP="00D61870">
      <w:pPr>
        <w:jc w:val="both"/>
        <w:rPr>
          <w:rFonts w:ascii="Book Antiqua" w:hAnsi="Book Antiqua"/>
        </w:rPr>
      </w:pPr>
      <w:r w:rsidRPr="00D61870">
        <w:rPr>
          <w:rFonts w:ascii="Book Antiqua" w:hAnsi="Book Antiqua"/>
        </w:rPr>
        <w:t xml:space="preserve">The study was conducted at Lake Tempe, Wajo Regency, South Sulawesi—one of the largest lakes in eastern Indonesia, characterized by a rich aquatic ecosystem and serving as the main source of livelihood for local fishers. This location was chosen due to its high fish biodiversity and the challenges faced in fishery resource management. The research was carried out from March 25 to May 25, 2025, coinciding with the transitional period from the rainy to the dry </w:t>
      </w:r>
      <w:r w:rsidRPr="00D61870">
        <w:rPr>
          <w:rFonts w:ascii="Book Antiqua" w:hAnsi="Book Antiqua"/>
        </w:rPr>
        <w:lastRenderedPageBreak/>
        <w:t>season, which significantly affects fishing activities (BPS Wajo, 2023). This transition period</w:t>
      </w:r>
      <w:r w:rsidRPr="00D61870">
        <w:rPr>
          <w:rFonts w:ascii="Book Antiqua" w:hAnsi="Book Antiqua"/>
          <w:b/>
          <w:bCs/>
        </w:rPr>
        <w:t xml:space="preserve"> </w:t>
      </w:r>
      <w:r w:rsidRPr="00D61870">
        <w:rPr>
          <w:rFonts w:ascii="Book Antiqua" w:hAnsi="Book Antiqua"/>
        </w:rPr>
        <w:t>was selected because it represents a critical ecological and socio-economic phase for fishing communities around Lake Tempe. During this time, water levels in the lake begin to recede, causing changes in fish distribution, habitat conditions, and fishing intensity. These environmental fluctuations directly influence the types and abundance of fish caught, as well as the fishing strategies and income levels of local fishers. Moreover, this period provides an ideal opportunity to observe local wisdom and adaptive practices employed by fishers in responding to environmental changes. Conducting the research during this transitional phase allowed for a more comprehensive understanding of the dynamic relationship between ecological conditions and socio-cultural adaptation in sustainable fisheries management.</w:t>
      </w:r>
    </w:p>
    <w:p w14:paraId="3B5BC237" w14:textId="4A12F7E0" w:rsidR="00DD5669" w:rsidRPr="00610B84" w:rsidRDefault="00D61870" w:rsidP="00D61870">
      <w:pPr>
        <w:jc w:val="both"/>
        <w:rPr>
          <w:rFonts w:ascii="Book Antiqua" w:hAnsi="Book Antiqua" w:cs="Times New Roman"/>
        </w:rPr>
      </w:pPr>
      <w:r w:rsidRPr="00D61870">
        <w:rPr>
          <w:rFonts w:ascii="Book Antiqua" w:hAnsi="Book Antiqua" w:cs="Times New Roman"/>
        </w:rPr>
        <w:t>A descriptive qualitative approach was adopted to provide an in-depth understanding of the socio-ecological phenomena associated with local wisdom in fisheries management at Lake Tempe. This approach enabled the researchers to capture the perspectives of fishing communities through direct field interactions (Creswell, 2014). Primary data were collected through in-depth interviews with customary leaders, senior fishers, village officials, and fisheries extension officers. Participatory observations were conducted to document fishing practices, the use of traditional gear, and the application of customary rules. Field notes and photographs were used to complement the data (Miles &amp; Huberman, 1994). Secondary data were obtained from government reports, academic publications, and previous studies on Lake Tempe and the Wajo community’s local wisdom. Data were analyzed thematically through coding to classify findings such as customary regulations, fishing practices, social sanctions, and sustainability values. Data validation was conducted via focus group discussions (FGD) with local fishers and community leaders (Krueger &amp; Casey, 2015).</w:t>
      </w:r>
    </w:p>
    <w:p w14:paraId="4A367AD1" w14:textId="77777777" w:rsidR="00DD5669" w:rsidRPr="00610B84" w:rsidRDefault="00DD5669" w:rsidP="00DD5669">
      <w:pPr>
        <w:jc w:val="both"/>
        <w:rPr>
          <w:rFonts w:ascii="Book Antiqua" w:hAnsi="Book Antiqua" w:cs="Times New Roman"/>
          <w:b/>
          <w:bCs/>
          <w:sz w:val="24"/>
          <w:szCs w:val="24"/>
        </w:rPr>
      </w:pPr>
      <w:r w:rsidRPr="00610B84">
        <w:rPr>
          <w:rFonts w:ascii="Book Antiqua" w:hAnsi="Book Antiqua" w:cs="Times New Roman"/>
          <w:b/>
          <w:bCs/>
          <w:sz w:val="24"/>
          <w:szCs w:val="24"/>
        </w:rPr>
        <w:t>3. Data Analysis</w:t>
      </w:r>
    </w:p>
    <w:p w14:paraId="27127EAA"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Data were analyzed using a descriptive qualitative method, where information from interviews, observations, and documentation was organized according to research themes (Creswell, 2014).</w:t>
      </w:r>
    </w:p>
    <w:p w14:paraId="0B921854"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The first stage involved data reduction, selecting relevant information from field notes and interview transcripts while excluding irrelevant data. The relevant data were coded to facilitate thematic grouping (Miles &amp; Huberman, 1994).</w:t>
      </w:r>
    </w:p>
    <w:p w14:paraId="7EBBF673"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The second stage involved data presentation in the form of matrices, thematic tables, and narratives, which allowed the identification of relationships between customary rules, fishing practices, sanction mechanisms, and socio-cultural values (Neuman, 2013).</w:t>
      </w:r>
    </w:p>
    <w:p w14:paraId="1DB237A7" w14:textId="69CC5ED3" w:rsidR="00610B84" w:rsidRPr="00610B84" w:rsidRDefault="00DD5669" w:rsidP="00DD5669">
      <w:pPr>
        <w:jc w:val="both"/>
        <w:rPr>
          <w:rFonts w:ascii="Book Antiqua" w:hAnsi="Book Antiqua" w:cs="Times New Roman"/>
        </w:rPr>
      </w:pPr>
      <w:r w:rsidRPr="00610B84">
        <w:rPr>
          <w:rFonts w:ascii="Book Antiqua" w:hAnsi="Book Antiqua" w:cs="Times New Roman"/>
        </w:rPr>
        <w:t>The final stage was conclusion drawing and verification, carried out iteratively through discussions with local communities and triangulation of data sources to ensure the validity and reliability of findings (Krueger &amp; Casey, 2015).</w:t>
      </w:r>
    </w:p>
    <w:p w14:paraId="41D97656" w14:textId="77777777" w:rsidR="00DD5669" w:rsidRPr="00DD5669" w:rsidRDefault="00DD5669" w:rsidP="00DD5669">
      <w:pPr>
        <w:jc w:val="both"/>
        <w:rPr>
          <w:rFonts w:ascii="Times New Roman" w:hAnsi="Times New Roman" w:cs="Times New Roman"/>
          <w:b/>
          <w:bCs/>
          <w:sz w:val="28"/>
          <w:szCs w:val="28"/>
        </w:rPr>
      </w:pPr>
      <w:r w:rsidRPr="00DD5669">
        <w:rPr>
          <w:rFonts w:ascii="Times New Roman" w:hAnsi="Times New Roman" w:cs="Times New Roman"/>
          <w:b/>
          <w:bCs/>
          <w:sz w:val="28"/>
          <w:szCs w:val="28"/>
        </w:rPr>
        <w:t>4</w:t>
      </w:r>
      <w:r w:rsidRPr="00610B84">
        <w:rPr>
          <w:rFonts w:ascii="Book Antiqua" w:hAnsi="Book Antiqua" w:cs="Times New Roman"/>
          <w:b/>
          <w:bCs/>
          <w:sz w:val="24"/>
          <w:szCs w:val="24"/>
        </w:rPr>
        <w:t>. Results</w:t>
      </w:r>
    </w:p>
    <w:p w14:paraId="4E9D923D"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The findings indicate that the Lake Tempe fishing community continues to uphold several customary regulations concerning fishery resource management. These include prohibitions on catching small fish, restrictions on fishing gear, and the enforcement of social sanctions for violations. These traditional practices are believed to maintain ecosystem balance and ensure fishery sustainability.</w:t>
      </w:r>
    </w:p>
    <w:p w14:paraId="0E001591" w14:textId="77777777" w:rsidR="00DD5669" w:rsidRPr="00610B84" w:rsidRDefault="00DD5669" w:rsidP="00DD5669">
      <w:pPr>
        <w:jc w:val="both"/>
        <w:rPr>
          <w:rFonts w:ascii="Book Antiqua" w:hAnsi="Book Antiqua" w:cs="Times New Roman"/>
        </w:rPr>
      </w:pPr>
      <w:r w:rsidRPr="00610B84">
        <w:rPr>
          <w:rFonts w:ascii="Book Antiqua" w:hAnsi="Book Antiqua" w:cs="Times New Roman"/>
          <w:b/>
          <w:bCs/>
        </w:rPr>
        <w:lastRenderedPageBreak/>
        <w:t>Table 1. Forms of Local Wisdom in Fisheries Management at Lake Tempe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
        <w:gridCol w:w="1980"/>
        <w:gridCol w:w="6635"/>
      </w:tblGrid>
      <w:tr w:rsidR="00DD5669" w:rsidRPr="00610B84" w14:paraId="414B1C7C" w14:textId="77777777" w:rsidTr="00DD566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480244" w14:textId="77777777" w:rsidR="00DD5669" w:rsidRPr="00610B84" w:rsidRDefault="00DD5669" w:rsidP="00DD5669">
            <w:pPr>
              <w:jc w:val="both"/>
              <w:rPr>
                <w:rFonts w:ascii="Book Antiqua" w:hAnsi="Book Antiqua" w:cs="Times New Roman"/>
                <w:b/>
                <w:bCs/>
              </w:rPr>
            </w:pPr>
            <w:r w:rsidRPr="00610B84">
              <w:rPr>
                <w:rFonts w:ascii="Book Antiqua" w:hAnsi="Book Antiqua" w:cs="Times New Roman"/>
                <w:b/>
                <w:bCs/>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BB315" w14:textId="77777777" w:rsidR="00DD5669" w:rsidRPr="00610B84" w:rsidRDefault="00DD5669" w:rsidP="00DD5669">
            <w:pPr>
              <w:jc w:val="center"/>
              <w:rPr>
                <w:rFonts w:ascii="Book Antiqua" w:hAnsi="Book Antiqua" w:cs="Times New Roman"/>
                <w:b/>
                <w:bCs/>
              </w:rPr>
            </w:pPr>
            <w:r w:rsidRPr="00610B84">
              <w:rPr>
                <w:rFonts w:ascii="Book Antiqua" w:hAnsi="Book Antiqua" w:cs="Times New Roman"/>
                <w:b/>
                <w:bCs/>
              </w:rPr>
              <w:t>Form of Local Wisdom</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2184E" w14:textId="77777777" w:rsidR="00DD5669" w:rsidRPr="00610B84" w:rsidRDefault="00DD5669" w:rsidP="00DD5669">
            <w:pPr>
              <w:jc w:val="center"/>
              <w:rPr>
                <w:rFonts w:ascii="Book Antiqua" w:hAnsi="Book Antiqua" w:cs="Times New Roman"/>
                <w:b/>
                <w:bCs/>
              </w:rPr>
            </w:pPr>
            <w:r w:rsidRPr="00610B84">
              <w:rPr>
                <w:rFonts w:ascii="Book Antiqua" w:hAnsi="Book Antiqua" w:cs="Times New Roman"/>
                <w:b/>
                <w:bCs/>
              </w:rPr>
              <w:t>Description</w:t>
            </w:r>
          </w:p>
        </w:tc>
      </w:tr>
      <w:tr w:rsidR="00DD5669" w:rsidRPr="00610B84" w14:paraId="44840593" w14:textId="77777777" w:rsidTr="00DD566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90AB11"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DFFAC34"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Fishing prohibition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47E18A4"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Prohibition on fishing from Thursday night until after Friday prayers.</w:t>
            </w:r>
          </w:p>
        </w:tc>
      </w:tr>
      <w:tr w:rsidR="00DD5669" w:rsidRPr="00610B84" w14:paraId="251F5C3B" w14:textId="77777777" w:rsidTr="00DD566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D6A282"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5215B"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Fishing gear limitation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D6884"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 xml:space="preserve">Ban on using two or more </w:t>
            </w:r>
            <w:r w:rsidRPr="00610B84">
              <w:rPr>
                <w:rFonts w:ascii="Book Antiqua" w:hAnsi="Book Antiqua" w:cs="Times New Roman"/>
                <w:i/>
                <w:iCs/>
              </w:rPr>
              <w:t>parewa ma’benni</w:t>
            </w:r>
            <w:r w:rsidRPr="00610B84">
              <w:rPr>
                <w:rFonts w:ascii="Book Antiqua" w:hAnsi="Book Antiqua" w:cs="Times New Roman"/>
              </w:rPr>
              <w:t xml:space="preserve"> (stationary overnight fishing gear) simultaneously.</w:t>
            </w:r>
          </w:p>
        </w:tc>
      </w:tr>
      <w:tr w:rsidR="00DD5669" w:rsidRPr="00610B84" w14:paraId="09B214A5" w14:textId="77777777" w:rsidTr="00DD566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2219D4"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59E0E"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Fishing exclusion zones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BCD2FDC"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Prohibition on catching small-sized fish in the lake.</w:t>
            </w:r>
          </w:p>
        </w:tc>
      </w:tr>
      <w:tr w:rsidR="00DD5669" w:rsidRPr="00610B84" w14:paraId="718CBC17" w14:textId="77777777" w:rsidTr="00DD566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CEAC07"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AA30DC"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Customary sanctions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2110C2"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Fines in the form of money or catch, and social exclusion.</w:t>
            </w:r>
          </w:p>
        </w:tc>
      </w:tr>
      <w:tr w:rsidR="00DD5669" w:rsidRPr="00610B84" w14:paraId="1902879D" w14:textId="77777777" w:rsidTr="00DD5669">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18A17C"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F7F7E0"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Profit-sharing system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D2071"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Fair distribution of catch among group members based on mutual agreement.</w:t>
            </w:r>
          </w:p>
        </w:tc>
      </w:tr>
    </w:tbl>
    <w:p w14:paraId="11194F8E"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Interview data show that most fishers comply with customary rules, though a small portion violate them due to economic pressure and modernization influences.</w:t>
      </w:r>
    </w:p>
    <w:p w14:paraId="056424C6" w14:textId="641DCC75" w:rsidR="00A7660B" w:rsidRPr="00610B84" w:rsidRDefault="00A7660B" w:rsidP="00DD5669">
      <w:pPr>
        <w:jc w:val="both"/>
        <w:rPr>
          <w:rFonts w:ascii="Book Antiqua" w:hAnsi="Book Antiqua" w:cs="Times New Roman"/>
        </w:rPr>
      </w:pPr>
      <w:r w:rsidRPr="00610B84">
        <w:rPr>
          <w:rFonts w:ascii="Book Antiqua" w:hAnsi="Book Antiqua" w:cs="Times New Roman"/>
        </w:rPr>
        <w:t>Graph 1. Level of Fishermen's Compliance with Customary Rules in Lake Tempe</w:t>
      </w:r>
    </w:p>
    <w:p w14:paraId="3FD58C34" w14:textId="7E707F74" w:rsidR="00A7660B" w:rsidRPr="00610B84" w:rsidRDefault="00A7660B" w:rsidP="00A7660B">
      <w:pPr>
        <w:jc w:val="center"/>
        <w:rPr>
          <w:rFonts w:ascii="Book Antiqua" w:hAnsi="Book Antiqua" w:cs="Times New Roman"/>
        </w:rPr>
      </w:pPr>
      <w:r w:rsidRPr="00610B84">
        <w:rPr>
          <w:rFonts w:ascii="Book Antiqua" w:hAnsi="Book Antiqua"/>
          <w:noProof/>
        </w:rPr>
        <w:drawing>
          <wp:inline distT="0" distB="0" distL="0" distR="0" wp14:anchorId="3CD679CE" wp14:editId="1A05EF96">
            <wp:extent cx="4572000" cy="2743200"/>
            <wp:effectExtent l="0" t="0" r="0" b="0"/>
            <wp:docPr id="1704009345" name="Chart 1">
              <a:extLst xmlns:a="http://schemas.openxmlformats.org/drawingml/2006/main">
                <a:ext uri="{FF2B5EF4-FFF2-40B4-BE49-F238E27FC236}">
                  <a16:creationId xmlns:a16="http://schemas.microsoft.com/office/drawing/2014/main" id="{EA9AC128-B183-6EEE-C497-7AEE6D48D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DB2EF" w14:textId="77777777" w:rsidR="00DD5669" w:rsidRPr="00610B84" w:rsidRDefault="00DD5669" w:rsidP="00DD5669">
      <w:pPr>
        <w:jc w:val="both"/>
        <w:rPr>
          <w:rFonts w:ascii="Book Antiqua" w:hAnsi="Book Antiqua" w:cs="Times New Roman"/>
        </w:rPr>
      </w:pPr>
      <w:r w:rsidRPr="00610B84">
        <w:rPr>
          <w:rFonts w:ascii="Book Antiqua" w:hAnsi="Book Antiqua" w:cs="Times New Roman"/>
        </w:rPr>
        <w:t>Compliance levels were highest regarding fishing gear restrictions (85%) and lowest for seasonal fishing bans (65%). This suggests that economic pressure compels some fishers to continue fishing during closed seasons (FAO, 2018).</w:t>
      </w:r>
    </w:p>
    <w:p w14:paraId="12E4EA55" w14:textId="77537D27" w:rsidR="00DD5669" w:rsidRPr="00610B84" w:rsidRDefault="00DD5669" w:rsidP="00DD5669">
      <w:pPr>
        <w:jc w:val="both"/>
        <w:rPr>
          <w:rFonts w:ascii="Book Antiqua" w:hAnsi="Book Antiqua" w:cs="Times New Roman"/>
        </w:rPr>
      </w:pPr>
      <w:r w:rsidRPr="00610B84">
        <w:rPr>
          <w:rFonts w:ascii="Book Antiqua" w:hAnsi="Book Antiqua" w:cs="Times New Roman"/>
        </w:rPr>
        <w:t>Overall, local wisdom remains a crucial mechanism for maintaining fisheries sustainability at Lake Tempe, but institutional and governmental support is required to strengthen its effectiveness in the face of modernization (Ostrom, 1990).</w:t>
      </w:r>
    </w:p>
    <w:p w14:paraId="72FE7F17" w14:textId="77777777" w:rsidR="00DD5669" w:rsidRPr="00DD5669" w:rsidRDefault="00DD5669" w:rsidP="00DD5669">
      <w:pPr>
        <w:jc w:val="both"/>
        <w:rPr>
          <w:rFonts w:ascii="Times New Roman" w:hAnsi="Times New Roman" w:cs="Times New Roman"/>
          <w:b/>
          <w:bCs/>
          <w:sz w:val="28"/>
          <w:szCs w:val="28"/>
        </w:rPr>
      </w:pPr>
      <w:r w:rsidRPr="00DD5669">
        <w:rPr>
          <w:rFonts w:ascii="Times New Roman" w:hAnsi="Times New Roman" w:cs="Times New Roman"/>
          <w:b/>
          <w:bCs/>
          <w:sz w:val="28"/>
          <w:szCs w:val="28"/>
        </w:rPr>
        <w:t>5</w:t>
      </w:r>
      <w:r w:rsidRPr="00610B84">
        <w:rPr>
          <w:rFonts w:ascii="Book Antiqua" w:hAnsi="Book Antiqua" w:cs="Times New Roman"/>
          <w:b/>
          <w:bCs/>
          <w:sz w:val="24"/>
          <w:szCs w:val="24"/>
        </w:rPr>
        <w:t>. Discussion</w:t>
      </w:r>
    </w:p>
    <w:p w14:paraId="23EA1A4F"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lastRenderedPageBreak/>
        <w:t xml:space="preserve">The findings of this study indicate that most communities around Lake Tempe still adhere to customary regulations governing the fishing closure season. The implementation of these traditional rules has proven effective in maintaining fish stock availability, as fishing activities are suspended during the spawning period, allowing the reproduction process to occur naturally. This finding aligns with Berkes (2008), who stated that the </w:t>
      </w:r>
      <w:r w:rsidRPr="00610B84">
        <w:rPr>
          <w:rFonts w:ascii="Book Antiqua" w:hAnsi="Book Antiqua" w:cs="Times New Roman"/>
          <w:i/>
          <w:iCs/>
        </w:rPr>
        <w:t>temporal closure</w:t>
      </w:r>
      <w:r w:rsidRPr="00610B84">
        <w:rPr>
          <w:rFonts w:ascii="Book Antiqua" w:hAnsi="Book Antiqua" w:cs="Times New Roman"/>
        </w:rPr>
        <w:t xml:space="preserve"> system, or seasonal fishing bans, is an effective mechanism for maintaining aquatic ecosystem productivity.</w:t>
      </w:r>
    </w:p>
    <w:p w14:paraId="67000936"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t>Environmental conservation represents human efforts to preserve and protect natural resources from pressure and adverse impacts caused by anthropogenic activities. These efforts aim to ensure the continuity of human and ecological life across generations. One tangible form of environmental preservation can be seen in customary legal systems that regulate the management of natural environments. According to Sari Adnyani (2014), the role of customary law in maintaining ecological balance has long been practiced and respected by communities as a guideline for achieving harmony between humans and nature. Such customary legal practices are often manifested in prohibitions, taboos, and recommendations that function to sustain ecological balance (Darusman, 2015).</w:t>
      </w:r>
    </w:p>
    <w:p w14:paraId="076E4585"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t xml:space="preserve">Furthermore, prohibitions, taboos, and myths constitute an integral part of local wisdom–based conservation mechanisms designed to ensure environmental sustainability (Niman, 2019). In the context of Lake Tempe, fishermen’s behavior guided by the prohibitions of </w:t>
      </w:r>
      <w:r w:rsidRPr="00610B84">
        <w:rPr>
          <w:rFonts w:ascii="Book Antiqua" w:hAnsi="Book Antiqua" w:cs="Times New Roman"/>
          <w:i/>
          <w:iCs/>
        </w:rPr>
        <w:t>Ade’ Assamaturuseng</w:t>
      </w:r>
      <w:r w:rsidRPr="00610B84">
        <w:rPr>
          <w:rFonts w:ascii="Book Antiqua" w:hAnsi="Book Antiqua" w:cs="Times New Roman"/>
        </w:rPr>
        <w:t xml:space="preserve"> reflects inherited environmental conservation practices. First, the prohibition of fishing from Thursday night until after Friday prayers serves to provide a natural recovery period for the lake ecosystem, preventing continuous exploitation and allowing fish populations to grow and reproduce. Second, the restriction on using two or more </w:t>
      </w:r>
      <w:r w:rsidRPr="00610B84">
        <w:rPr>
          <w:rFonts w:ascii="Book Antiqua" w:hAnsi="Book Antiqua" w:cs="Times New Roman"/>
          <w:i/>
          <w:iCs/>
        </w:rPr>
        <w:t>parewa ma’benni</w:t>
      </w:r>
      <w:r w:rsidRPr="00610B84">
        <w:rPr>
          <w:rFonts w:ascii="Book Antiqua" w:hAnsi="Book Antiqua" w:cs="Times New Roman"/>
        </w:rPr>
        <w:t xml:space="preserve"> (stationary overnight fishing gear) aims to prevent overexploitation and encourage fishermen to utilize resources in moderation. Uncontrolled use of the lake may lead to large-scale exploitation that threatens the sustainability of aquatic resources.</w:t>
      </w:r>
    </w:p>
    <w:p w14:paraId="2C6DBE2F"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t xml:space="preserve">The third prohibition, which forbids catching small-sized fish, aims to give juvenile fish the opportunity to grow and reproduce. Moreover, catching small fish is considered uneconomical due to their low market value. The fourth prohibition restricts fishing activities three days before and after the traditional </w:t>
      </w:r>
      <w:r w:rsidRPr="00610B84">
        <w:rPr>
          <w:rFonts w:ascii="Book Antiqua" w:hAnsi="Book Antiqua" w:cs="Times New Roman"/>
          <w:i/>
          <w:iCs/>
        </w:rPr>
        <w:t>Maccera Tappareng</w:t>
      </w:r>
      <w:r w:rsidRPr="00610B84">
        <w:rPr>
          <w:rFonts w:ascii="Book Antiqua" w:hAnsi="Book Antiqua" w:cs="Times New Roman"/>
        </w:rPr>
        <w:t xml:space="preserve"> ceremony, both to respect cultural practices and to allow ecological recovery. These findings support Tabbua and Amrullah (2022), who emphasized that the </w:t>
      </w:r>
      <w:r w:rsidRPr="00610B84">
        <w:rPr>
          <w:rFonts w:ascii="Book Antiqua" w:hAnsi="Book Antiqua" w:cs="Times New Roman"/>
          <w:i/>
          <w:iCs/>
        </w:rPr>
        <w:t>Ade’ Assamaturuseng</w:t>
      </w:r>
      <w:r w:rsidRPr="00610B84">
        <w:rPr>
          <w:rFonts w:ascii="Book Antiqua" w:hAnsi="Book Antiqua" w:cs="Times New Roman"/>
        </w:rPr>
        <w:t xml:space="preserve"> prohibitions represent a culturally rooted ecological management system. These values not only regulate fishermen’s behavior but also embody principles of conservation and sustainable resource use, effectively preventing overexploitation and maintaining the ecological balance of Lake Tempe.</w:t>
      </w:r>
    </w:p>
    <w:p w14:paraId="0925D3C4"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t>The fishermen’s adherence to these customary prohibitions reflects ecological awareness to avoid excessive exploitation that could impose environmental stress. This principle suggests that socially efficient resource exploitation must be accompanied by ecological sustainability considerations. As Adnyana and Maitri (2014) explain, local wisdom functions as a socio-religious force that preserves the natural environment, serving as both an identity and social capital that sustains ecological harmony within the community.</w:t>
      </w:r>
    </w:p>
    <w:p w14:paraId="0B39ACA5" w14:textId="763AF716" w:rsidR="007F4D91" w:rsidRPr="00610B84" w:rsidRDefault="007F4D91" w:rsidP="007F4D91">
      <w:pPr>
        <w:jc w:val="both"/>
        <w:rPr>
          <w:rFonts w:ascii="Book Antiqua" w:hAnsi="Book Antiqua" w:cs="Times New Roman"/>
        </w:rPr>
      </w:pPr>
      <w:r w:rsidRPr="00610B84">
        <w:rPr>
          <w:rFonts w:ascii="Book Antiqua" w:hAnsi="Book Antiqua" w:cs="Times New Roman"/>
        </w:rPr>
        <w:t xml:space="preserve">In addition, community compliance with fishing gear restrictions remains relatively high - approximately 85%. Most fishermen use traditional gear such as </w:t>
      </w:r>
      <w:r w:rsidRPr="00610B84">
        <w:rPr>
          <w:rFonts w:ascii="Book Antiqua" w:hAnsi="Book Antiqua" w:cs="Times New Roman"/>
          <w:i/>
          <w:iCs/>
        </w:rPr>
        <w:t>bubu</w:t>
      </w:r>
      <w:r w:rsidRPr="00610B84">
        <w:rPr>
          <w:rFonts w:ascii="Book Antiqua" w:hAnsi="Book Antiqua" w:cs="Times New Roman"/>
        </w:rPr>
        <w:t xml:space="preserve"> and </w:t>
      </w:r>
      <w:r w:rsidRPr="00610B84">
        <w:rPr>
          <w:rFonts w:ascii="Book Antiqua" w:hAnsi="Book Antiqua" w:cs="Times New Roman"/>
          <w:i/>
          <w:iCs/>
        </w:rPr>
        <w:t>sero</w:t>
      </w:r>
      <w:r w:rsidRPr="00610B84">
        <w:rPr>
          <w:rFonts w:ascii="Book Antiqua" w:hAnsi="Book Antiqua" w:cs="Times New Roman"/>
        </w:rPr>
        <w:t xml:space="preserve">, which are environmentally friendly because they do not damage benthic habitats and allow small fish </w:t>
      </w:r>
      <w:r w:rsidRPr="00610B84">
        <w:rPr>
          <w:rFonts w:ascii="Book Antiqua" w:hAnsi="Book Antiqua" w:cs="Times New Roman"/>
        </w:rPr>
        <w:lastRenderedPageBreak/>
        <w:t>to escape. This observation supports Johannes (2002), who argued that traditional fishing gear contributes to the sustainability of fishery resources.</w:t>
      </w:r>
    </w:p>
    <w:p w14:paraId="3EA0F063"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t>Social sanction mechanisms such as customary fines and social ostracism have also proven effective in regulating fishermen’s behavior. Although lacking formal legal authority, these sanctions foster compliance through collective norms and communal values. This finding reinforces Ostrom’s (1990) theory that community-based rules are effective instruments for managing common-pool resources.</w:t>
      </w:r>
    </w:p>
    <w:p w14:paraId="3F32D384" w14:textId="77777777" w:rsidR="007F4D91" w:rsidRPr="00610B84" w:rsidRDefault="007F4D91" w:rsidP="007F4D91">
      <w:pPr>
        <w:jc w:val="both"/>
        <w:rPr>
          <w:rFonts w:ascii="Book Antiqua" w:hAnsi="Book Antiqua" w:cs="Times New Roman"/>
        </w:rPr>
      </w:pPr>
      <w:r w:rsidRPr="00610B84">
        <w:rPr>
          <w:rFonts w:ascii="Book Antiqua" w:hAnsi="Book Antiqua" w:cs="Times New Roman"/>
        </w:rPr>
        <w:t>However, compliance with the seasonal fishing closure is relatively lower (65%) compared to other aspects. The main factor influencing this condition is the economic pressure faced by fishing households, which drives some fishermen to continue fishing despite the prohibition period. This reflects a tension between short-term economic needs and long-term sustainability goals—a phenomenon also observed by Cinner &amp; Aswani (2007) among coastal communities in the South Pacific.</w:t>
      </w:r>
    </w:p>
    <w:p w14:paraId="1BE948B8" w14:textId="65BDBA89" w:rsidR="007F4D91" w:rsidRPr="00610B84" w:rsidRDefault="007F4D91" w:rsidP="007F4D91">
      <w:pPr>
        <w:jc w:val="both"/>
        <w:rPr>
          <w:rFonts w:ascii="Book Antiqua" w:hAnsi="Book Antiqua" w:cs="Times New Roman"/>
        </w:rPr>
      </w:pPr>
      <w:r w:rsidRPr="00610B84">
        <w:rPr>
          <w:rFonts w:ascii="Book Antiqua" w:hAnsi="Book Antiqua" w:cs="Times New Roman"/>
        </w:rPr>
        <w:t xml:space="preserve">The compliance graph shows that 20% of fishermen occasionally violate and 10% frequently violate customary rules. These groups are typically affected by </w:t>
      </w:r>
      <w:proofErr w:type="gramStart"/>
      <w:r w:rsidRPr="00610B84">
        <w:rPr>
          <w:rFonts w:ascii="Book Antiqua" w:hAnsi="Book Antiqua" w:cs="Times New Roman"/>
        </w:rPr>
        <w:t>low income</w:t>
      </w:r>
      <w:proofErr w:type="gramEnd"/>
      <w:r w:rsidRPr="00610B84">
        <w:rPr>
          <w:rFonts w:ascii="Book Antiqua" w:hAnsi="Book Antiqua" w:cs="Times New Roman"/>
        </w:rPr>
        <w:t xml:space="preserve"> levels, limited awareness, and the adoption of modern fishing gear that is more efficient yet environmentally destructive. This condition presents a major challenge to the sustainability of local wisdom–based fisheries management in Lake Tempe. This aligns with FAO’s (2018) report, which notes that unregulated modernization tends to erode traditional ecological knowledge.</w:t>
      </w:r>
    </w:p>
    <w:p w14:paraId="37463BC3" w14:textId="70B5C9DB" w:rsidR="007F4D91" w:rsidRPr="00610B84" w:rsidRDefault="007F4D91" w:rsidP="00A7660B">
      <w:pPr>
        <w:jc w:val="both"/>
        <w:rPr>
          <w:rFonts w:ascii="Book Antiqua" w:hAnsi="Book Antiqua" w:cs="Times New Roman"/>
        </w:rPr>
      </w:pPr>
      <w:r w:rsidRPr="00610B84">
        <w:rPr>
          <w:rFonts w:ascii="Book Antiqua" w:hAnsi="Book Antiqua" w:cs="Times New Roman"/>
        </w:rPr>
        <w:t>Therefore, it is essential to integrate local wisdom with formal policy through a co-management approach. Local governments should recognize and strengthen relevant customary regulations while providing alternative livelihoods and environmentally friendly technologies for fishermen. In doing so, the sustainability of Lake Tempe’s fisheries can be achieved through a synergy between traditional knowledge and modern scientific approaches. This recommendation aligns with Pomeroy &amp; Berkes (1997), who emphasize the importance of government support in promoting community-based fisheries management.</w:t>
      </w:r>
    </w:p>
    <w:p w14:paraId="79689142" w14:textId="5EF9FC05" w:rsidR="00A20472" w:rsidRPr="00405B28" w:rsidRDefault="00A7660B" w:rsidP="00A7660B">
      <w:pPr>
        <w:jc w:val="both"/>
        <w:rPr>
          <w:rFonts w:ascii="Book Antiqua" w:hAnsi="Book Antiqua" w:cs="Times New Roman"/>
          <w:sz w:val="24"/>
          <w:szCs w:val="24"/>
        </w:rPr>
      </w:pPr>
      <w:r w:rsidRPr="00405B28">
        <w:rPr>
          <w:rFonts w:ascii="Book Antiqua" w:hAnsi="Book Antiqua"/>
          <w:b/>
          <w:bCs/>
          <w:sz w:val="24"/>
          <w:szCs w:val="24"/>
        </w:rPr>
        <w:t>References</w:t>
      </w:r>
    </w:p>
    <w:p w14:paraId="1A5E0B99"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Adnyana, I. G. A. P., &amp; Maitri, N. A. U. (2014). Pelestarian Lingkungan Hidup Berbasis Kearifan Lokal (Local Wisdom) di Desa Tenganan Kecamatan Kecamatan Manggis Kabupaten Karangasem. Jurnal Media Komunikasi Geografi, 15(32), 1–16.</w:t>
      </w:r>
    </w:p>
    <w:p w14:paraId="24EFA89A" w14:textId="77777777" w:rsidR="004C0411" w:rsidRPr="00405B28" w:rsidRDefault="004C0411" w:rsidP="00977BA5">
      <w:pPr>
        <w:pStyle w:val="NormalWeb"/>
        <w:spacing w:before="0" w:beforeAutospacing="0" w:after="0" w:afterAutospacing="0"/>
        <w:jc w:val="both"/>
        <w:rPr>
          <w:rFonts w:ascii="Book Antiqua" w:hAnsi="Book Antiqua"/>
        </w:rPr>
      </w:pPr>
      <w:r w:rsidRPr="00405B28">
        <w:rPr>
          <w:rFonts w:ascii="Book Antiqua" w:hAnsi="Book Antiqua"/>
        </w:rPr>
        <w:t xml:space="preserve">Berkes, F. (2008). </w:t>
      </w:r>
      <w:r w:rsidRPr="00405B28">
        <w:rPr>
          <w:rFonts w:ascii="Book Antiqua" w:hAnsi="Book Antiqua"/>
          <w:i/>
          <w:iCs/>
        </w:rPr>
        <w:t>Sacred Ecology</w:t>
      </w:r>
      <w:r w:rsidRPr="00405B28">
        <w:rPr>
          <w:rFonts w:ascii="Book Antiqua" w:hAnsi="Book Antiqua"/>
        </w:rPr>
        <w:t>. 2nd ed. New York: Routledge.</w:t>
      </w:r>
    </w:p>
    <w:p w14:paraId="1923E261"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BPS Wajo. (2023). </w:t>
      </w:r>
      <w:r w:rsidRPr="00405B28">
        <w:rPr>
          <w:rFonts w:ascii="Book Antiqua" w:hAnsi="Book Antiqua"/>
          <w:i/>
          <w:iCs/>
        </w:rPr>
        <w:t>Kabupaten Wajo dalam Angka 2023</w:t>
      </w:r>
      <w:r w:rsidRPr="00405B28">
        <w:rPr>
          <w:rFonts w:ascii="Book Antiqua" w:hAnsi="Book Antiqua"/>
        </w:rPr>
        <w:t>. Badan Pusat Statistik Kabupaten Wajo.</w:t>
      </w:r>
    </w:p>
    <w:p w14:paraId="10B07331"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Cinner, J.E. and Aswani, S. (2007). Integrating customary management into marine conservation. </w:t>
      </w:r>
      <w:r w:rsidRPr="00405B28">
        <w:rPr>
          <w:rFonts w:ascii="Book Antiqua" w:hAnsi="Book Antiqua"/>
          <w:i/>
          <w:iCs/>
        </w:rPr>
        <w:t>Biological Conservation</w:t>
      </w:r>
      <w:r w:rsidRPr="00405B28">
        <w:rPr>
          <w:rFonts w:ascii="Book Antiqua" w:hAnsi="Book Antiqua"/>
        </w:rPr>
        <w:t>, 140(3), pp.201–216.</w:t>
      </w:r>
    </w:p>
    <w:p w14:paraId="5C3FCB02"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Cinner, J.E., Basurto, X., Fidelman, P., Kuange, J., Lahari, R. and Mukminin, A. (2012). Institutional designs of customary fisheries management arrangements in Indonesia, Papua New Guinea, and Mexico. </w:t>
      </w:r>
      <w:r w:rsidRPr="00405B28">
        <w:rPr>
          <w:rFonts w:ascii="Book Antiqua" w:hAnsi="Book Antiqua"/>
          <w:i/>
          <w:iCs/>
        </w:rPr>
        <w:t>Marine Policy</w:t>
      </w:r>
      <w:r w:rsidRPr="00405B28">
        <w:rPr>
          <w:rFonts w:ascii="Book Antiqua" w:hAnsi="Book Antiqua"/>
        </w:rPr>
        <w:t>, 36(1), pp.278–285.</w:t>
      </w:r>
    </w:p>
    <w:p w14:paraId="165BEC03"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Creswell, J.W. (2014). </w:t>
      </w:r>
      <w:r w:rsidRPr="00405B28">
        <w:rPr>
          <w:rFonts w:ascii="Book Antiqua" w:hAnsi="Book Antiqua"/>
          <w:i/>
          <w:iCs/>
        </w:rPr>
        <w:t>Research Design: Qualitative, Quantitative, and Mixed Methods Approaches</w:t>
      </w:r>
      <w:r w:rsidRPr="00405B28">
        <w:rPr>
          <w:rFonts w:ascii="Book Antiqua" w:hAnsi="Book Antiqua"/>
        </w:rPr>
        <w:t>. 4th ed. Thousand Oaks, CA: SAGE.</w:t>
      </w:r>
    </w:p>
    <w:p w14:paraId="5F79F239"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lastRenderedPageBreak/>
        <w:t>Darusman, Y. (2015). KEARIFAN LOKAL DAN PELESTARIAN LINGKUNGAN (Studi Kasus di Kampung Naga, Kabupaten Tasikmalaya dan di Kampung Kuta, Kabupaten Ciamis). Jurnal Cendekiawan Ilmiah PLS, 7(1), 37–72. Pelestarian Lingkungan, Kearifan Lokal, Ekofeminisme, Ekosistem, Eksploitasi Sumber Daya Alam</w:t>
      </w:r>
    </w:p>
    <w:p w14:paraId="644E6B51"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FAO. (2018). </w:t>
      </w:r>
      <w:r w:rsidRPr="00405B28">
        <w:rPr>
          <w:rFonts w:ascii="Book Antiqua" w:hAnsi="Book Antiqua"/>
          <w:i/>
          <w:iCs/>
        </w:rPr>
        <w:t>The State of World Fisheries and Aquaculture 2018: Meeting the sustainable development goals</w:t>
      </w:r>
      <w:r w:rsidRPr="00405B28">
        <w:rPr>
          <w:rFonts w:ascii="Book Antiqua" w:hAnsi="Book Antiqua"/>
        </w:rPr>
        <w:t>. Rome: Food and Agriculture Organization of the United Nations.</w:t>
      </w:r>
    </w:p>
    <w:p w14:paraId="2F77F0DF"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Johannes, R.E. (2002). The renaissance of community-based marine resource management in Oceania. </w:t>
      </w:r>
      <w:r w:rsidRPr="00405B28">
        <w:rPr>
          <w:rFonts w:ascii="Book Antiqua" w:hAnsi="Book Antiqua"/>
          <w:i/>
          <w:iCs/>
        </w:rPr>
        <w:t>Annual Review of Ecology and Systematics</w:t>
      </w:r>
      <w:r w:rsidRPr="00405B28">
        <w:rPr>
          <w:rFonts w:ascii="Book Antiqua" w:hAnsi="Book Antiqua"/>
        </w:rPr>
        <w:t>, 33, pp.317–340.</w:t>
      </w:r>
    </w:p>
    <w:p w14:paraId="27606AD0"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Krueger, R.A. and Casey, M.A. (2015). </w:t>
      </w:r>
      <w:r w:rsidRPr="00405B28">
        <w:rPr>
          <w:rFonts w:ascii="Book Antiqua" w:hAnsi="Book Antiqua"/>
          <w:i/>
          <w:iCs/>
        </w:rPr>
        <w:t>Focus Groups: A Practical Guide for Applied Research</w:t>
      </w:r>
      <w:r w:rsidRPr="00405B28">
        <w:rPr>
          <w:rFonts w:ascii="Book Antiqua" w:hAnsi="Book Antiqua"/>
        </w:rPr>
        <w:t>. 5th ed. Thousand Oaks, CA: SAGE.</w:t>
      </w:r>
    </w:p>
    <w:p w14:paraId="38EE7233"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Miles, M.B. and Huberman, A.M. (1994). </w:t>
      </w:r>
      <w:r w:rsidRPr="00405B28">
        <w:rPr>
          <w:rFonts w:ascii="Book Antiqua" w:hAnsi="Book Antiqua"/>
          <w:i/>
          <w:iCs/>
        </w:rPr>
        <w:t>Qualitative Data Analysis: An Expanded Sourcebook</w:t>
      </w:r>
      <w:r w:rsidRPr="00405B28">
        <w:rPr>
          <w:rFonts w:ascii="Book Antiqua" w:hAnsi="Book Antiqua"/>
        </w:rPr>
        <w:t>. 2nd ed. Thousand Oaks, CA: SAGE.</w:t>
      </w:r>
    </w:p>
    <w:p w14:paraId="2E9FD0B1" w14:textId="77777777" w:rsidR="004C0411" w:rsidRPr="00405B28" w:rsidRDefault="004C0411" w:rsidP="00977BA5">
      <w:pPr>
        <w:pStyle w:val="NormalWeb"/>
        <w:spacing w:before="0" w:beforeAutospacing="0" w:after="0" w:afterAutospacing="0"/>
        <w:ind w:left="1134" w:hanging="1134"/>
        <w:jc w:val="both"/>
        <w:rPr>
          <w:rFonts w:ascii="Book Antiqua" w:hAnsi="Book Antiqua"/>
        </w:rPr>
      </w:pPr>
      <w:r w:rsidRPr="00405B28">
        <w:rPr>
          <w:rFonts w:ascii="Book Antiqua" w:hAnsi="Book Antiqua"/>
        </w:rPr>
        <w:t xml:space="preserve">Neuman, W.L. (2013). </w:t>
      </w:r>
      <w:r w:rsidRPr="00405B28">
        <w:rPr>
          <w:rFonts w:ascii="Book Antiqua" w:hAnsi="Book Antiqua"/>
          <w:i/>
          <w:iCs/>
        </w:rPr>
        <w:t>Social Research Methods: Qualitative and Quantitative Approaches</w:t>
      </w:r>
      <w:r w:rsidRPr="00405B28">
        <w:rPr>
          <w:rFonts w:ascii="Book Antiqua" w:hAnsi="Book Antiqua"/>
        </w:rPr>
        <w:t>. 7th ed. Boston: Pearson.</w:t>
      </w:r>
    </w:p>
    <w:p w14:paraId="4415D8B0"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Niman, E. M. (2019). Kearifan Lokal dan Upaya Pelestarian Lingkungan Alam. Jurnal Pendidikan Dan Kebudayaan Missio, 11(1), 91–106.</w:t>
      </w:r>
    </w:p>
    <w:p w14:paraId="1526AF3B"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 xml:space="preserve">Ostrom, E. (1990). </w:t>
      </w:r>
      <w:r w:rsidRPr="00405B28">
        <w:rPr>
          <w:rFonts w:ascii="Book Antiqua" w:hAnsi="Book Antiqua"/>
          <w:i/>
          <w:iCs/>
        </w:rPr>
        <w:t>Governing the Commons: The Evolution of Institutions for Collective Action</w:t>
      </w:r>
      <w:r w:rsidRPr="00405B28">
        <w:rPr>
          <w:rFonts w:ascii="Book Antiqua" w:hAnsi="Book Antiqua"/>
        </w:rPr>
        <w:t>. Cambridge: Cambridge University Press.</w:t>
      </w:r>
    </w:p>
    <w:p w14:paraId="081D355E"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 xml:space="preserve">Pomeroy, R.S. and Berkes, F. (1997). Two to tango: the role of government in fisheries co-management. </w:t>
      </w:r>
      <w:r w:rsidRPr="00405B28">
        <w:rPr>
          <w:rFonts w:ascii="Book Antiqua" w:hAnsi="Book Antiqua"/>
          <w:i/>
          <w:iCs/>
        </w:rPr>
        <w:t>Marine Policy</w:t>
      </w:r>
      <w:r w:rsidRPr="00405B28">
        <w:rPr>
          <w:rFonts w:ascii="Book Antiqua" w:hAnsi="Book Antiqua"/>
        </w:rPr>
        <w:t>, 21(5), pp.465–480.</w:t>
      </w:r>
    </w:p>
    <w:p w14:paraId="6394FCD6"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 xml:space="preserve">Pretty, J. (2003). Social capital and collective management of resources. </w:t>
      </w:r>
      <w:r w:rsidRPr="00405B28">
        <w:rPr>
          <w:rFonts w:ascii="Book Antiqua" w:hAnsi="Book Antiqua"/>
          <w:i/>
          <w:iCs/>
        </w:rPr>
        <w:t>Science</w:t>
      </w:r>
      <w:r w:rsidRPr="00405B28">
        <w:rPr>
          <w:rFonts w:ascii="Book Antiqua" w:hAnsi="Book Antiqua"/>
        </w:rPr>
        <w:t>, 302(5652), pp.1912–1914.</w:t>
      </w:r>
    </w:p>
    <w:p w14:paraId="65B48597" w14:textId="77777777"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 xml:space="preserve">Pretty, J. (2011). </w:t>
      </w:r>
      <w:r w:rsidRPr="00405B28">
        <w:rPr>
          <w:rFonts w:ascii="Book Antiqua" w:hAnsi="Book Antiqua"/>
          <w:i/>
          <w:iCs/>
        </w:rPr>
        <w:t>The Earth Only Endures: On Reconnecting with Nature and Our Place in It</w:t>
      </w:r>
      <w:r w:rsidRPr="00405B28">
        <w:rPr>
          <w:rFonts w:ascii="Book Antiqua" w:hAnsi="Book Antiqua"/>
        </w:rPr>
        <w:t>. London: Routledge.</w:t>
      </w:r>
    </w:p>
    <w:p w14:paraId="5975E89E" w14:textId="368DCF92" w:rsidR="004C0411" w:rsidRPr="00405B28" w:rsidRDefault="004C0411" w:rsidP="00977BA5">
      <w:pPr>
        <w:pStyle w:val="NormalWeb"/>
        <w:spacing w:before="0" w:beforeAutospacing="0" w:after="0" w:afterAutospacing="0"/>
        <w:ind w:left="993" w:hanging="993"/>
        <w:jc w:val="both"/>
        <w:rPr>
          <w:rFonts w:ascii="Book Antiqua" w:hAnsi="Book Antiqua"/>
        </w:rPr>
      </w:pPr>
      <w:r w:rsidRPr="00405B28">
        <w:rPr>
          <w:rFonts w:ascii="Book Antiqua" w:hAnsi="Book Antiqua"/>
        </w:rPr>
        <w:t xml:space="preserve">Sari Adnyani, N. K. (2014). Nyepi Segara Sebagai Kearifan Lokal Masyarakat Nusa Penida Dalam Pelestarian Lingkungan Laut. Jurnal Ilmu Sosial Dan Humaniora,3(1), 300–312. </w:t>
      </w:r>
      <w:hyperlink r:id="rId10" w:history="1">
        <w:r w:rsidRPr="00405B28">
          <w:rPr>
            <w:rStyle w:val="Hyperlink"/>
            <w:rFonts w:ascii="Book Antiqua" w:hAnsi="Book Antiqua"/>
          </w:rPr>
          <w:t>https://doi.org/10.23887/jishundiksha.v3i1.2921</w:t>
        </w:r>
      </w:hyperlink>
    </w:p>
    <w:p w14:paraId="701BFBBA" w14:textId="77777777" w:rsidR="0047773F" w:rsidRDefault="0047773F" w:rsidP="0047773F">
      <w:pPr>
        <w:pStyle w:val="NormalWeb"/>
        <w:rPr>
          <w:b/>
          <w:bCs/>
        </w:rPr>
      </w:pPr>
    </w:p>
    <w:p w14:paraId="322DDAE4" w14:textId="77777777" w:rsidR="00A20472" w:rsidRPr="00A20472" w:rsidRDefault="00A20472" w:rsidP="00A20472">
      <w:pPr>
        <w:pStyle w:val="NormalWeb"/>
        <w:ind w:left="284"/>
        <w:rPr>
          <w:b/>
          <w:bCs/>
        </w:rPr>
      </w:pPr>
    </w:p>
    <w:p w14:paraId="7AC7B55C" w14:textId="77777777" w:rsidR="00495583" w:rsidRPr="00495583" w:rsidRDefault="00495583" w:rsidP="00495583">
      <w:pPr>
        <w:jc w:val="both"/>
        <w:rPr>
          <w:rFonts w:ascii="Times New Roman" w:hAnsi="Times New Roman" w:cs="Times New Roman"/>
          <w:b/>
          <w:bCs/>
          <w:sz w:val="24"/>
          <w:szCs w:val="24"/>
        </w:rPr>
      </w:pPr>
    </w:p>
    <w:p w14:paraId="1124C09F" w14:textId="77777777" w:rsidR="00495583" w:rsidRPr="00495583" w:rsidRDefault="00495583" w:rsidP="00495583">
      <w:pPr>
        <w:rPr>
          <w:rFonts w:ascii="Times New Roman" w:hAnsi="Times New Roman" w:cs="Times New Roman"/>
          <w:b/>
          <w:bCs/>
          <w:sz w:val="24"/>
          <w:szCs w:val="24"/>
        </w:rPr>
      </w:pPr>
    </w:p>
    <w:p w14:paraId="40281F4A" w14:textId="77777777" w:rsidR="00495583" w:rsidRPr="00495583" w:rsidRDefault="00495583" w:rsidP="00495583">
      <w:pPr>
        <w:pStyle w:val="ListParagraph"/>
        <w:rPr>
          <w:rFonts w:ascii="Times New Roman" w:hAnsi="Times New Roman" w:cs="Times New Roman"/>
          <w:b/>
          <w:bCs/>
          <w:sz w:val="24"/>
          <w:szCs w:val="24"/>
        </w:rPr>
      </w:pPr>
    </w:p>
    <w:p w14:paraId="2BF855CC" w14:textId="77777777" w:rsidR="00495583" w:rsidRDefault="00495583" w:rsidP="00495583">
      <w:pPr>
        <w:rPr>
          <w:rFonts w:ascii="Times New Roman" w:hAnsi="Times New Roman" w:cs="Times New Roman"/>
          <w:sz w:val="24"/>
          <w:szCs w:val="24"/>
        </w:rPr>
      </w:pPr>
    </w:p>
    <w:p w14:paraId="5B5601BB" w14:textId="77777777" w:rsidR="00495583" w:rsidRPr="00495583" w:rsidRDefault="00495583" w:rsidP="00495583">
      <w:pPr>
        <w:rPr>
          <w:rFonts w:ascii="Times New Roman" w:hAnsi="Times New Roman" w:cs="Times New Roman"/>
          <w:sz w:val="24"/>
          <w:szCs w:val="24"/>
        </w:rPr>
      </w:pPr>
    </w:p>
    <w:sectPr w:rsidR="00495583" w:rsidRPr="00495583" w:rsidSect="00680DA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C370" w14:textId="77777777" w:rsidR="00537024" w:rsidRDefault="00537024" w:rsidP="000A0222">
      <w:pPr>
        <w:spacing w:after="0" w:line="240" w:lineRule="auto"/>
      </w:pPr>
      <w:r>
        <w:separator/>
      </w:r>
    </w:p>
  </w:endnote>
  <w:endnote w:type="continuationSeparator" w:id="0">
    <w:p w14:paraId="3B451DDE" w14:textId="77777777" w:rsidR="00537024" w:rsidRDefault="00537024" w:rsidP="000A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996A" w14:textId="77777777" w:rsidR="00680DAF" w:rsidRDefault="00680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5581"/>
      <w:docPartObj>
        <w:docPartGallery w:val="Page Numbers (Bottom of Page)"/>
        <w:docPartUnique/>
      </w:docPartObj>
    </w:sdtPr>
    <w:sdtEndPr>
      <w:rPr>
        <w:noProof/>
      </w:rPr>
    </w:sdtEndPr>
    <w:sdtContent>
      <w:p w14:paraId="6B08D41C" w14:textId="453E1782" w:rsidR="000A0222" w:rsidRDefault="000A02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C5703" w14:textId="77777777" w:rsidR="000A0222" w:rsidRDefault="000A0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FEBE" w14:textId="77777777" w:rsidR="00680DAF" w:rsidRDefault="00680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9A12" w14:textId="77777777" w:rsidR="00537024" w:rsidRDefault="00537024" w:rsidP="000A0222">
      <w:pPr>
        <w:spacing w:after="0" w:line="240" w:lineRule="auto"/>
      </w:pPr>
      <w:r>
        <w:separator/>
      </w:r>
    </w:p>
  </w:footnote>
  <w:footnote w:type="continuationSeparator" w:id="0">
    <w:p w14:paraId="0254B96A" w14:textId="77777777" w:rsidR="00537024" w:rsidRDefault="00537024" w:rsidP="000A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2066" w14:textId="77777777" w:rsidR="00680DAF" w:rsidRDefault="00680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FD83" w14:textId="77777777" w:rsidR="00680DAF" w:rsidRDefault="00680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90CF" w14:textId="77777777" w:rsidR="00680DAF" w:rsidRDefault="00680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4A61"/>
    <w:multiLevelType w:val="multilevel"/>
    <w:tmpl w:val="5848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FE6C1D"/>
    <w:multiLevelType w:val="hybridMultilevel"/>
    <w:tmpl w:val="FFE8F174"/>
    <w:lvl w:ilvl="0" w:tplc="3809000F">
      <w:start w:val="1"/>
      <w:numFmt w:val="decimal"/>
      <w:lvlText w:val="%1."/>
      <w:lvlJc w:val="left"/>
      <w:pPr>
        <w:ind w:left="29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82201952">
    <w:abstractNumId w:val="1"/>
  </w:num>
  <w:num w:numId="2" w16cid:durableId="77116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A8"/>
    <w:rsid w:val="000049E0"/>
    <w:rsid w:val="000A0222"/>
    <w:rsid w:val="000A646D"/>
    <w:rsid w:val="000E470B"/>
    <w:rsid w:val="00100B8C"/>
    <w:rsid w:val="001A15ED"/>
    <w:rsid w:val="001C7CB8"/>
    <w:rsid w:val="001E29CA"/>
    <w:rsid w:val="00261786"/>
    <w:rsid w:val="00286BAD"/>
    <w:rsid w:val="002A3BAC"/>
    <w:rsid w:val="002B47EC"/>
    <w:rsid w:val="00337F02"/>
    <w:rsid w:val="0034184D"/>
    <w:rsid w:val="003A0C1B"/>
    <w:rsid w:val="003E6611"/>
    <w:rsid w:val="003E6679"/>
    <w:rsid w:val="00405B28"/>
    <w:rsid w:val="004218A8"/>
    <w:rsid w:val="0047773F"/>
    <w:rsid w:val="00495583"/>
    <w:rsid w:val="004C0411"/>
    <w:rsid w:val="004D0818"/>
    <w:rsid w:val="004D197E"/>
    <w:rsid w:val="004D3D70"/>
    <w:rsid w:val="00537024"/>
    <w:rsid w:val="00553163"/>
    <w:rsid w:val="005B3C5A"/>
    <w:rsid w:val="00610B84"/>
    <w:rsid w:val="00680DAF"/>
    <w:rsid w:val="006F034A"/>
    <w:rsid w:val="007F4D91"/>
    <w:rsid w:val="00814223"/>
    <w:rsid w:val="00842303"/>
    <w:rsid w:val="00842C16"/>
    <w:rsid w:val="00856B61"/>
    <w:rsid w:val="00873933"/>
    <w:rsid w:val="00887E55"/>
    <w:rsid w:val="008F5385"/>
    <w:rsid w:val="0090528A"/>
    <w:rsid w:val="0090784F"/>
    <w:rsid w:val="009338EA"/>
    <w:rsid w:val="00953225"/>
    <w:rsid w:val="00962B16"/>
    <w:rsid w:val="00977BA5"/>
    <w:rsid w:val="009F3CC1"/>
    <w:rsid w:val="00A20472"/>
    <w:rsid w:val="00A356DB"/>
    <w:rsid w:val="00A7660B"/>
    <w:rsid w:val="00B610C3"/>
    <w:rsid w:val="00B93D47"/>
    <w:rsid w:val="00D61870"/>
    <w:rsid w:val="00D956AB"/>
    <w:rsid w:val="00DD5669"/>
    <w:rsid w:val="00E129B7"/>
    <w:rsid w:val="00E65914"/>
    <w:rsid w:val="00F13309"/>
    <w:rsid w:val="00F858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86CF2"/>
  <w15:chartTrackingRefBased/>
  <w15:docId w15:val="{69532582-BDE2-4BB8-AD3C-107BA381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8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8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8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8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8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8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8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A8"/>
    <w:rPr>
      <w:rFonts w:eastAsiaTheme="majorEastAsia" w:cstheme="majorBidi"/>
      <w:color w:val="272727" w:themeColor="text1" w:themeTint="D8"/>
    </w:rPr>
  </w:style>
  <w:style w:type="paragraph" w:styleId="Title">
    <w:name w:val="Title"/>
    <w:basedOn w:val="Normal"/>
    <w:next w:val="Normal"/>
    <w:link w:val="TitleChar"/>
    <w:uiPriority w:val="10"/>
    <w:qFormat/>
    <w:rsid w:val="00421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A8"/>
    <w:pPr>
      <w:spacing w:before="160"/>
      <w:jc w:val="center"/>
    </w:pPr>
    <w:rPr>
      <w:i/>
      <w:iCs/>
      <w:color w:val="404040" w:themeColor="text1" w:themeTint="BF"/>
    </w:rPr>
  </w:style>
  <w:style w:type="character" w:customStyle="1" w:styleId="QuoteChar">
    <w:name w:val="Quote Char"/>
    <w:basedOn w:val="DefaultParagraphFont"/>
    <w:link w:val="Quote"/>
    <w:uiPriority w:val="29"/>
    <w:rsid w:val="004218A8"/>
    <w:rPr>
      <w:i/>
      <w:iCs/>
      <w:color w:val="404040" w:themeColor="text1" w:themeTint="BF"/>
    </w:rPr>
  </w:style>
  <w:style w:type="paragraph" w:styleId="ListParagraph">
    <w:name w:val="List Paragraph"/>
    <w:basedOn w:val="Normal"/>
    <w:uiPriority w:val="34"/>
    <w:qFormat/>
    <w:rsid w:val="004218A8"/>
    <w:pPr>
      <w:ind w:left="720"/>
      <w:contextualSpacing/>
    </w:pPr>
  </w:style>
  <w:style w:type="character" w:styleId="IntenseEmphasis">
    <w:name w:val="Intense Emphasis"/>
    <w:basedOn w:val="DefaultParagraphFont"/>
    <w:uiPriority w:val="21"/>
    <w:qFormat/>
    <w:rsid w:val="004218A8"/>
    <w:rPr>
      <w:i/>
      <w:iCs/>
      <w:color w:val="2F5496" w:themeColor="accent1" w:themeShade="BF"/>
    </w:rPr>
  </w:style>
  <w:style w:type="paragraph" w:styleId="IntenseQuote">
    <w:name w:val="Intense Quote"/>
    <w:basedOn w:val="Normal"/>
    <w:next w:val="Normal"/>
    <w:link w:val="IntenseQuoteChar"/>
    <w:uiPriority w:val="30"/>
    <w:qFormat/>
    <w:rsid w:val="00421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8A8"/>
    <w:rPr>
      <w:i/>
      <w:iCs/>
      <w:color w:val="2F5496" w:themeColor="accent1" w:themeShade="BF"/>
    </w:rPr>
  </w:style>
  <w:style w:type="character" w:styleId="IntenseReference">
    <w:name w:val="Intense Reference"/>
    <w:basedOn w:val="DefaultParagraphFont"/>
    <w:uiPriority w:val="32"/>
    <w:qFormat/>
    <w:rsid w:val="004218A8"/>
    <w:rPr>
      <w:b/>
      <w:bCs/>
      <w:smallCaps/>
      <w:color w:val="2F5496" w:themeColor="accent1" w:themeShade="BF"/>
      <w:spacing w:val="5"/>
    </w:rPr>
  </w:style>
  <w:style w:type="paragraph" w:styleId="NormalWeb">
    <w:name w:val="Normal (Web)"/>
    <w:basedOn w:val="Normal"/>
    <w:uiPriority w:val="99"/>
    <w:unhideWhenUsed/>
    <w:rsid w:val="0049558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495583"/>
    <w:rPr>
      <w:b/>
      <w:bCs/>
    </w:rPr>
  </w:style>
  <w:style w:type="character" w:styleId="Emphasis">
    <w:name w:val="Emphasis"/>
    <w:basedOn w:val="DefaultParagraphFont"/>
    <w:uiPriority w:val="20"/>
    <w:qFormat/>
    <w:rsid w:val="00495583"/>
    <w:rPr>
      <w:i/>
      <w:iCs/>
    </w:rPr>
  </w:style>
  <w:style w:type="character" w:styleId="Hyperlink">
    <w:name w:val="Hyperlink"/>
    <w:basedOn w:val="DefaultParagraphFont"/>
    <w:uiPriority w:val="99"/>
    <w:unhideWhenUsed/>
    <w:rsid w:val="00A20472"/>
    <w:rPr>
      <w:color w:val="0563C1" w:themeColor="hyperlink"/>
      <w:u w:val="single"/>
    </w:rPr>
  </w:style>
  <w:style w:type="character" w:styleId="UnresolvedMention">
    <w:name w:val="Unresolved Mention"/>
    <w:basedOn w:val="DefaultParagraphFont"/>
    <w:uiPriority w:val="99"/>
    <w:semiHidden/>
    <w:unhideWhenUsed/>
    <w:rsid w:val="00A20472"/>
    <w:rPr>
      <w:color w:val="605E5C"/>
      <w:shd w:val="clear" w:color="auto" w:fill="E1DFDD"/>
    </w:rPr>
  </w:style>
  <w:style w:type="character" w:styleId="CommentReference">
    <w:name w:val="annotation reference"/>
    <w:basedOn w:val="DefaultParagraphFont"/>
    <w:uiPriority w:val="99"/>
    <w:semiHidden/>
    <w:unhideWhenUsed/>
    <w:rsid w:val="0090528A"/>
    <w:rPr>
      <w:sz w:val="16"/>
      <w:szCs w:val="16"/>
    </w:rPr>
  </w:style>
  <w:style w:type="paragraph" w:styleId="CommentText">
    <w:name w:val="annotation text"/>
    <w:basedOn w:val="Normal"/>
    <w:link w:val="CommentTextChar"/>
    <w:uiPriority w:val="99"/>
    <w:unhideWhenUsed/>
    <w:rsid w:val="0090528A"/>
    <w:pPr>
      <w:spacing w:line="240" w:lineRule="auto"/>
    </w:pPr>
    <w:rPr>
      <w:sz w:val="20"/>
      <w:szCs w:val="20"/>
    </w:rPr>
  </w:style>
  <w:style w:type="character" w:customStyle="1" w:styleId="CommentTextChar">
    <w:name w:val="Comment Text Char"/>
    <w:basedOn w:val="DefaultParagraphFont"/>
    <w:link w:val="CommentText"/>
    <w:uiPriority w:val="99"/>
    <w:rsid w:val="0090528A"/>
    <w:rPr>
      <w:sz w:val="20"/>
      <w:szCs w:val="20"/>
    </w:rPr>
  </w:style>
  <w:style w:type="paragraph" w:styleId="CommentSubject">
    <w:name w:val="annotation subject"/>
    <w:basedOn w:val="CommentText"/>
    <w:next w:val="CommentText"/>
    <w:link w:val="CommentSubjectChar"/>
    <w:uiPriority w:val="99"/>
    <w:semiHidden/>
    <w:unhideWhenUsed/>
    <w:rsid w:val="0090528A"/>
    <w:rPr>
      <w:b/>
      <w:bCs/>
    </w:rPr>
  </w:style>
  <w:style w:type="character" w:customStyle="1" w:styleId="CommentSubjectChar">
    <w:name w:val="Comment Subject Char"/>
    <w:basedOn w:val="CommentTextChar"/>
    <w:link w:val="CommentSubject"/>
    <w:uiPriority w:val="99"/>
    <w:semiHidden/>
    <w:rsid w:val="0090528A"/>
    <w:rPr>
      <w:b/>
      <w:bCs/>
      <w:sz w:val="20"/>
      <w:szCs w:val="20"/>
    </w:rPr>
  </w:style>
  <w:style w:type="paragraph" w:styleId="Header">
    <w:name w:val="header"/>
    <w:basedOn w:val="Normal"/>
    <w:link w:val="HeaderChar"/>
    <w:uiPriority w:val="99"/>
    <w:unhideWhenUsed/>
    <w:rsid w:val="001A15E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1A15ED"/>
    <w:rPr>
      <w:sz w:val="24"/>
      <w:szCs w:val="24"/>
    </w:rPr>
  </w:style>
  <w:style w:type="paragraph" w:styleId="Footer">
    <w:name w:val="footer"/>
    <w:basedOn w:val="Normal"/>
    <w:link w:val="FooterChar"/>
    <w:uiPriority w:val="99"/>
    <w:unhideWhenUsed/>
    <w:rsid w:val="000A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engrahayuningsih1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3887/jishundiksha.v3i1.2921"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Tingkat_Kepatuhan_Nelayan_Danau_Temp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Persentase (%)</c:v>
                </c:pt>
              </c:strCache>
            </c:strRef>
          </c:tx>
          <c:spPr>
            <a:solidFill>
              <a:schemeClr val="accent1"/>
            </a:solidFill>
            <a:ln>
              <a:noFill/>
            </a:ln>
            <a:effectLst/>
          </c:spPr>
          <c:invertIfNegative val="0"/>
          <c:cat>
            <c:strRef>
              <c:f>Sheet1!$A$2:$A$4</c:f>
              <c:strCache>
                <c:ptCount val="3"/>
                <c:pt idx="0">
                  <c:v>Compliant</c:v>
                </c:pt>
                <c:pt idx="1">
                  <c:v>Sometimes Violates</c:v>
                </c:pt>
                <c:pt idx="2">
                  <c:v>Frequently Violates</c:v>
                </c:pt>
              </c:strCache>
            </c:strRef>
          </c:cat>
          <c:val>
            <c:numRef>
              <c:f>Sheet1!$B$2:$B$4</c:f>
              <c:numCache>
                <c:formatCode>General</c:formatCode>
                <c:ptCount val="3"/>
                <c:pt idx="0">
                  <c:v>70</c:v>
                </c:pt>
                <c:pt idx="1">
                  <c:v>20</c:v>
                </c:pt>
                <c:pt idx="2">
                  <c:v>10</c:v>
                </c:pt>
              </c:numCache>
            </c:numRef>
          </c:val>
          <c:extLst>
            <c:ext xmlns:c16="http://schemas.microsoft.com/office/drawing/2014/chart" uri="{C3380CC4-5D6E-409C-BE32-E72D297353CC}">
              <c16:uniqueId val="{00000000-7986-4848-867D-97A6B6CB1C91}"/>
            </c:ext>
          </c:extLst>
        </c:ser>
        <c:dLbls>
          <c:showLegendKey val="0"/>
          <c:showVal val="0"/>
          <c:showCatName val="0"/>
          <c:showSerName val="0"/>
          <c:showPercent val="0"/>
          <c:showBubbleSize val="0"/>
        </c:dLbls>
        <c:gapWidth val="219"/>
        <c:overlap val="-27"/>
        <c:axId val="822190703"/>
        <c:axId val="822191183"/>
      </c:barChart>
      <c:catAx>
        <c:axId val="82219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191183"/>
        <c:crosses val="autoZero"/>
        <c:auto val="1"/>
        <c:lblAlgn val="ctr"/>
        <c:lblOffset val="100"/>
        <c:noMultiLvlLbl val="0"/>
      </c:catAx>
      <c:valAx>
        <c:axId val="822191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1907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2604</Words>
  <Characters>16566</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hardianti wijaya</dc:creator>
  <cp:keywords/>
  <dc:description/>
  <cp:lastModifiedBy>fitri hardianti wijaya</cp:lastModifiedBy>
  <cp:revision>27</cp:revision>
  <dcterms:created xsi:type="dcterms:W3CDTF">2025-09-27T15:09:00Z</dcterms:created>
  <dcterms:modified xsi:type="dcterms:W3CDTF">2025-11-04T14:22:00Z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4661f965-5063-4079-8a9f-29075aaee4cd</vt:lpwstr>
  </property>
</Properties>
</file>